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374" w:rsidRDefault="002C4374" w:rsidP="002C4374">
      <w:pPr>
        <w:pStyle w:val="CRCoverPage"/>
        <w:tabs>
          <w:tab w:val="right" w:pos="9639"/>
        </w:tabs>
        <w:spacing w:after="0" w:line="360" w:lineRule="exact"/>
        <w:rPr>
          <w:rFonts w:cs="Arial"/>
          <w:b/>
          <w:i/>
          <w:sz w:val="24"/>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107</w:t>
      </w:r>
      <w:r>
        <w:rPr>
          <w:rFonts w:cs="Arial"/>
          <w:b/>
          <w:i/>
          <w:sz w:val="28"/>
        </w:rPr>
        <w:tab/>
        <w:t xml:space="preserve">                   </w:t>
      </w:r>
      <w:r w:rsidRPr="000F30CF">
        <w:rPr>
          <w:rFonts w:cs="Arial"/>
          <w:b/>
          <w:i/>
          <w:sz w:val="24"/>
        </w:rPr>
        <w:t xml:space="preserve"> </w:t>
      </w:r>
      <w:r>
        <w:rPr>
          <w:rFonts w:cs="Arial"/>
          <w:b/>
          <w:i/>
          <w:sz w:val="24"/>
        </w:rPr>
        <w:t xml:space="preserve"> R2-1908870</w:t>
      </w:r>
    </w:p>
    <w:p w:rsidR="00FF75D5" w:rsidRDefault="002C4374" w:rsidP="002C4374">
      <w:pPr>
        <w:tabs>
          <w:tab w:val="center" w:pos="4536"/>
          <w:tab w:val="right" w:pos="9072"/>
        </w:tabs>
        <w:rPr>
          <w:rFonts w:ascii="Arial" w:hAnsi="Arial" w:cs="Arial"/>
          <w:b/>
          <w:i/>
          <w:sz w:val="24"/>
          <w:lang w:val="en-GB" w:eastAsia="en-US"/>
        </w:rPr>
      </w:pPr>
      <w:r w:rsidRPr="001A56BE">
        <w:rPr>
          <w:rFonts w:ascii="Arial" w:hAnsi="Arial"/>
          <w:b/>
          <w:sz w:val="24"/>
          <w:szCs w:val="20"/>
          <w:lang w:val="en-GB" w:eastAsia="en-US"/>
        </w:rPr>
        <w:t xml:space="preserve">Prague, Czech Republic, </w:t>
      </w:r>
      <w:r>
        <w:rPr>
          <w:rFonts w:ascii="Arial" w:hAnsi="Arial" w:cs="Arial"/>
          <w:b/>
          <w:sz w:val="24"/>
          <w:szCs w:val="20"/>
          <w:lang w:val="en-GB" w:eastAsia="en-US"/>
        </w:rPr>
        <w:t>26</w:t>
      </w:r>
      <w:r>
        <w:rPr>
          <w:rFonts w:ascii="Arial" w:hAnsi="Arial" w:cs="Arial"/>
          <w:b/>
          <w:sz w:val="24"/>
          <w:szCs w:val="20"/>
          <w:vertAlign w:val="superscript"/>
          <w:lang w:val="en-GB" w:eastAsia="en-US"/>
        </w:rPr>
        <w:t>th</w:t>
      </w:r>
      <w:r>
        <w:rPr>
          <w:rFonts w:ascii="Arial" w:hAnsi="Arial" w:cs="Arial"/>
          <w:b/>
          <w:sz w:val="24"/>
          <w:szCs w:val="20"/>
          <w:lang w:val="en-GB" w:eastAsia="en-US"/>
        </w:rPr>
        <w:t xml:space="preserve"> – 30</w:t>
      </w:r>
      <w:r>
        <w:rPr>
          <w:rFonts w:ascii="Arial" w:hAnsi="Arial" w:cs="Arial"/>
          <w:b/>
          <w:sz w:val="24"/>
          <w:szCs w:val="20"/>
          <w:vertAlign w:val="superscript"/>
          <w:lang w:val="en-GB" w:eastAsia="en-US"/>
        </w:rPr>
        <w:t>th</w:t>
      </w:r>
      <w:r w:rsidRPr="001A56BE">
        <w:rPr>
          <w:rFonts w:ascii="Arial" w:hAnsi="Arial"/>
          <w:b/>
          <w:sz w:val="24"/>
          <w:szCs w:val="20"/>
          <w:lang w:val="en-GB" w:eastAsia="en-US"/>
        </w:rPr>
        <w:t xml:space="preserve"> August 2019</w:t>
      </w:r>
      <w:bookmarkEnd w:id="0"/>
      <w:r w:rsidR="00C62543">
        <w:rPr>
          <w:rFonts w:ascii="Arial" w:hAnsi="Arial"/>
          <w:b/>
          <w:sz w:val="24"/>
          <w:szCs w:val="20"/>
          <w:lang w:val="en-GB" w:eastAsia="en-US"/>
        </w:rPr>
        <w:t xml:space="preserve">   </w:t>
      </w:r>
      <w:r>
        <w:rPr>
          <w:rFonts w:ascii="Arial" w:hAnsi="Arial"/>
          <w:b/>
          <w:sz w:val="24"/>
          <w:szCs w:val="20"/>
          <w:lang w:val="en-GB" w:eastAsia="en-US"/>
        </w:rPr>
        <w:t xml:space="preserve">                   </w:t>
      </w:r>
      <w:r w:rsidR="00C62543">
        <w:rPr>
          <w:rFonts w:ascii="Arial" w:hAnsi="Arial"/>
          <w:b/>
          <w:sz w:val="24"/>
          <w:szCs w:val="20"/>
          <w:lang w:val="en-GB" w:eastAsia="en-US"/>
        </w:rPr>
        <w:t xml:space="preserve"> </w:t>
      </w:r>
      <w:bookmarkStart w:id="5" w:name="_GoBack"/>
      <w:bookmarkEnd w:id="5"/>
      <w:r w:rsidR="00C62543">
        <w:rPr>
          <w:rFonts w:ascii="Arial" w:hAnsi="Arial"/>
          <w:b/>
          <w:sz w:val="24"/>
          <w:szCs w:val="20"/>
          <w:lang w:val="en-GB" w:eastAsia="en-US"/>
        </w:rPr>
        <w:t xml:space="preserve">                   </w:t>
      </w:r>
      <w:r w:rsidR="00C62543">
        <w:rPr>
          <w:rFonts w:ascii="Arial" w:eastAsia="宋体" w:hAnsi="Arial" w:hint="eastAsia"/>
          <w:b/>
          <w:sz w:val="24"/>
          <w:szCs w:val="20"/>
        </w:rPr>
        <w:t xml:space="preserve">                                                       </w:t>
      </w:r>
    </w:p>
    <w:p w:rsidR="00FF75D5" w:rsidRDefault="00C62543">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FF75D5" w:rsidRDefault="00C62543">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6" w:name="OLE_LINK19"/>
      <w:r>
        <w:rPr>
          <w:rFonts w:eastAsia="宋体" w:hint="eastAsia"/>
          <w:sz w:val="24"/>
          <w:szCs w:val="22"/>
          <w:lang w:eastAsia="zh-CN"/>
        </w:rPr>
        <w:t xml:space="preserve">  </w:t>
      </w:r>
      <w:bookmarkEnd w:id="6"/>
      <w:r w:rsidR="002C4374" w:rsidRPr="002C4374">
        <w:rPr>
          <w:rFonts w:cs="Arial"/>
          <w:bCs/>
          <w:color w:val="000000"/>
          <w:sz w:val="24"/>
          <w:lang w:eastAsia="zh-CN"/>
        </w:rPr>
        <w:t>Other remaining issues of UE grouping for WUS</w:t>
      </w:r>
    </w:p>
    <w:p w:rsidR="00FF75D5" w:rsidRDefault="00C62543">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FF75D5" w:rsidRDefault="00C62543">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FF75D5" w:rsidRDefault="00FF75D5">
      <w:pPr>
        <w:pBdr>
          <w:bottom w:val="single" w:sz="4" w:space="1" w:color="auto"/>
        </w:pBdr>
        <w:tabs>
          <w:tab w:val="left" w:pos="2552"/>
        </w:tabs>
        <w:spacing w:after="0" w:line="60" w:lineRule="exact"/>
        <w:rPr>
          <w:rFonts w:eastAsia="宋体"/>
          <w:sz w:val="24"/>
        </w:rPr>
      </w:pPr>
    </w:p>
    <w:p w:rsidR="00FF75D5" w:rsidRDefault="00C62543">
      <w:pPr>
        <w:pStyle w:val="1"/>
        <w:spacing w:before="120" w:after="120" w:line="360" w:lineRule="auto"/>
        <w:ind w:left="431" w:hanging="431"/>
        <w:rPr>
          <w:lang w:val="en-US"/>
        </w:rPr>
      </w:pPr>
      <w:r>
        <w:rPr>
          <w:lang w:val="en-US"/>
        </w:rPr>
        <w:t>Introduction</w:t>
      </w:r>
    </w:p>
    <w:p w:rsidR="00FF75D5" w:rsidRDefault="00C62543">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FF75D5">
        <w:tc>
          <w:tcPr>
            <w:tcW w:w="9549" w:type="dxa"/>
          </w:tcPr>
          <w:p w:rsidR="00FF75D5" w:rsidRDefault="00C62543">
            <w:pPr>
              <w:spacing w:beforeLines="50" w:before="120" w:afterLines="50" w:after="120"/>
              <w:rPr>
                <w:b/>
                <w:bCs/>
                <w:i/>
                <w:sz w:val="21"/>
                <w:szCs w:val="21"/>
              </w:rPr>
            </w:pPr>
            <w:r>
              <w:rPr>
                <w:b/>
                <w:bCs/>
                <w:i/>
                <w:sz w:val="21"/>
                <w:szCs w:val="21"/>
              </w:rPr>
              <w:t>Improved DL transmission efficiency and/or UE power consumption:</w:t>
            </w:r>
          </w:p>
          <w:p w:rsidR="00FF75D5" w:rsidRDefault="00C62543">
            <w:pPr>
              <w:numPr>
                <w:ilvl w:val="0"/>
                <w:numId w:val="6"/>
              </w:numPr>
              <w:overflowPunct w:val="0"/>
              <w:autoSpaceDE w:val="0"/>
              <w:autoSpaceDN w:val="0"/>
              <w:adjustRightInd w:val="0"/>
              <w:spacing w:beforeLines="30" w:before="72" w:afterLines="30" w:after="72" w:line="240" w:lineRule="auto"/>
              <w:textAlignment w:val="baseline"/>
              <w:rPr>
                <w:bCs/>
              </w:rPr>
            </w:pPr>
            <w:r>
              <w:rPr>
                <w:bCs/>
                <w:i/>
                <w:sz w:val="21"/>
                <w:szCs w:val="21"/>
              </w:rPr>
              <w:t>Specify support for UE-group wake-up signal (WUS) [RAN1, RAN2, RAN4]</w:t>
            </w:r>
          </w:p>
        </w:tc>
      </w:tr>
    </w:tbl>
    <w:p w:rsidR="00FF75D5" w:rsidRDefault="00C62543">
      <w:pPr>
        <w:spacing w:beforeLines="50" w:before="120" w:after="100"/>
        <w:rPr>
          <w:sz w:val="20"/>
          <w:szCs w:val="20"/>
          <w:lang w:val="en-GB"/>
        </w:rPr>
      </w:pPr>
      <w:bookmarkStart w:id="7" w:name="OLE_LINK5"/>
      <w:bookmarkEnd w:id="3"/>
      <w:bookmarkEnd w:id="4"/>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96</w:t>
      </w:r>
      <w:r w:rsidR="007014BB">
        <w:rPr>
          <w:sz w:val="20"/>
          <w:szCs w:val="20"/>
          <w:lang w:val="en-GB"/>
        </w:rPr>
        <w:t>~</w:t>
      </w:r>
      <w:r>
        <w:rPr>
          <w:sz w:val="20"/>
          <w:szCs w:val="20"/>
          <w:lang w:val="en-GB"/>
        </w:rPr>
        <w:t>#</w:t>
      </w:r>
      <w:r>
        <w:rPr>
          <w:rFonts w:eastAsia="宋体" w:hint="eastAsia"/>
          <w:sz w:val="20"/>
          <w:szCs w:val="20"/>
        </w:rPr>
        <w:t>97</w:t>
      </w:r>
      <w:r>
        <w:rPr>
          <w:rFonts w:eastAsia="宋体"/>
          <w:sz w:val="20"/>
          <w:szCs w:val="20"/>
        </w:rPr>
        <w:t xml:space="preserve"> </w:t>
      </w:r>
      <w:r>
        <w:rPr>
          <w:sz w:val="20"/>
          <w:szCs w:val="20"/>
          <w:lang w:val="en-GB"/>
        </w:rPr>
        <w:t>meeting, the following agreements have been achieved:</w:t>
      </w:r>
    </w:p>
    <w:tbl>
      <w:tblPr>
        <w:tblStyle w:val="af5"/>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4"/>
      </w:tblGrid>
      <w:tr w:rsidR="00FF75D5">
        <w:tc>
          <w:tcPr>
            <w:tcW w:w="9594" w:type="dxa"/>
          </w:tcPr>
          <w:p w:rsidR="00FF75D5" w:rsidRPr="00B151A3" w:rsidRDefault="00C62543">
            <w:pPr>
              <w:spacing w:beforeLines="30" w:before="72" w:afterLines="30" w:after="72"/>
              <w:rPr>
                <w:rFonts w:eastAsia="MS Mincho"/>
                <w:sz w:val="20"/>
                <w:szCs w:val="20"/>
                <w:lang w:eastAsia="ja-JP"/>
              </w:rPr>
            </w:pPr>
            <w:r w:rsidRPr="00B151A3">
              <w:rPr>
                <w:rFonts w:eastAsia="MS Mincho"/>
                <w:sz w:val="20"/>
                <w:szCs w:val="20"/>
                <w:highlight w:val="green"/>
                <w:lang w:eastAsia="ja-JP"/>
              </w:rPr>
              <w:t>RAN</w:t>
            </w:r>
            <w:r w:rsidRPr="00B151A3">
              <w:rPr>
                <w:rFonts w:eastAsia="宋体"/>
                <w:sz w:val="20"/>
                <w:szCs w:val="20"/>
                <w:highlight w:val="green"/>
              </w:rPr>
              <w:t>1</w:t>
            </w:r>
            <w:r w:rsidRPr="00B151A3">
              <w:rPr>
                <w:rFonts w:eastAsia="MS Mincho"/>
                <w:sz w:val="20"/>
                <w:szCs w:val="20"/>
                <w:highlight w:val="green"/>
                <w:lang w:eastAsia="ja-JP"/>
              </w:rPr>
              <w:t>#</w:t>
            </w:r>
            <w:r w:rsidRPr="00B151A3">
              <w:rPr>
                <w:rFonts w:eastAsia="宋体"/>
                <w:sz w:val="20"/>
                <w:szCs w:val="20"/>
                <w:highlight w:val="green"/>
              </w:rPr>
              <w:t>96</w:t>
            </w:r>
            <w:r w:rsidRPr="00B151A3">
              <w:rPr>
                <w:rFonts w:eastAsia="MS Mincho"/>
                <w:sz w:val="20"/>
                <w:szCs w:val="20"/>
                <w:highlight w:val="green"/>
                <w:lang w:eastAsia="ja-JP"/>
              </w:rPr>
              <w:t xml:space="preserve"> agreements:</w:t>
            </w:r>
          </w:p>
          <w:p w:rsidR="00FF75D5" w:rsidRPr="00B151A3" w:rsidRDefault="00C62543">
            <w:pPr>
              <w:numPr>
                <w:ilvl w:val="0"/>
                <w:numId w:val="7"/>
              </w:numPr>
              <w:spacing w:beforeLines="30" w:before="72" w:afterLines="30" w:after="72" w:line="240" w:lineRule="exact"/>
              <w:ind w:left="714" w:hanging="357"/>
              <w:rPr>
                <w:bCs/>
                <w:i/>
                <w:sz w:val="20"/>
                <w:szCs w:val="20"/>
              </w:rPr>
            </w:pPr>
            <w:r w:rsidRPr="00B151A3">
              <w:rPr>
                <w:bCs/>
                <w:i/>
                <w:sz w:val="20"/>
                <w:szCs w:val="20"/>
              </w:rPr>
              <w:t>If configured, a common WUS is used to wake up all group WUS UEs monitoring the same WUS (time-frequency) resource if more than one UE group occupies the WUS resource.</w:t>
            </w:r>
          </w:p>
          <w:p w:rsidR="00FF75D5" w:rsidRPr="00B151A3" w:rsidRDefault="00C62543">
            <w:pPr>
              <w:numPr>
                <w:ilvl w:val="0"/>
                <w:numId w:val="7"/>
              </w:numPr>
              <w:spacing w:beforeLines="30" w:before="72" w:afterLines="30" w:after="72" w:line="240" w:lineRule="exact"/>
              <w:ind w:left="714" w:hanging="357"/>
              <w:rPr>
                <w:bCs/>
                <w:i/>
                <w:sz w:val="20"/>
                <w:szCs w:val="20"/>
                <w:lang w:val="en-GB"/>
              </w:rPr>
            </w:pPr>
            <w:r w:rsidRPr="00B151A3">
              <w:rPr>
                <w:bCs/>
                <w:i/>
                <w:sz w:val="20"/>
                <w:szCs w:val="20"/>
              </w:rPr>
              <w:t>If the group WUS resource is configured to be shared by Rel-15 WUS and Rel-16 WUS, a common WUS for all the group WUS UEs in the same WUS resource is configured to be legacy WUS or a non-legacy WUS.</w:t>
            </w:r>
          </w:p>
          <w:p w:rsidR="00FF75D5" w:rsidRPr="00B151A3" w:rsidRDefault="00C62543">
            <w:pPr>
              <w:spacing w:beforeLines="30" w:before="72" w:afterLines="30" w:after="72"/>
              <w:rPr>
                <w:rFonts w:eastAsia="MS Mincho"/>
                <w:sz w:val="20"/>
                <w:szCs w:val="20"/>
                <w:lang w:eastAsia="ja-JP"/>
              </w:rPr>
            </w:pPr>
            <w:r w:rsidRPr="00B151A3">
              <w:rPr>
                <w:rFonts w:eastAsia="MS Mincho"/>
                <w:sz w:val="20"/>
                <w:szCs w:val="20"/>
                <w:highlight w:val="green"/>
                <w:lang w:eastAsia="ja-JP"/>
              </w:rPr>
              <w:t>RAN</w:t>
            </w:r>
            <w:r w:rsidRPr="00B151A3">
              <w:rPr>
                <w:rFonts w:eastAsia="宋体"/>
                <w:sz w:val="20"/>
                <w:szCs w:val="20"/>
                <w:highlight w:val="green"/>
              </w:rPr>
              <w:t>1</w:t>
            </w:r>
            <w:r w:rsidRPr="00B151A3">
              <w:rPr>
                <w:rFonts w:eastAsia="MS Mincho"/>
                <w:sz w:val="20"/>
                <w:szCs w:val="20"/>
                <w:highlight w:val="green"/>
                <w:lang w:eastAsia="ja-JP"/>
              </w:rPr>
              <w:t>#</w:t>
            </w:r>
            <w:r w:rsidRPr="00B151A3">
              <w:rPr>
                <w:rFonts w:eastAsia="宋体"/>
                <w:sz w:val="20"/>
                <w:szCs w:val="20"/>
                <w:highlight w:val="green"/>
              </w:rPr>
              <w:t>97</w:t>
            </w:r>
            <w:r w:rsidRPr="00B151A3">
              <w:rPr>
                <w:rFonts w:eastAsia="MS Mincho"/>
                <w:sz w:val="20"/>
                <w:szCs w:val="20"/>
                <w:highlight w:val="green"/>
                <w:lang w:eastAsia="ja-JP"/>
              </w:rPr>
              <w:t xml:space="preserve"> agreements:</w:t>
            </w:r>
          </w:p>
          <w:p w:rsidR="00FF75D5" w:rsidRPr="00B151A3" w:rsidRDefault="00C62543">
            <w:pPr>
              <w:numPr>
                <w:ilvl w:val="0"/>
                <w:numId w:val="7"/>
              </w:numPr>
              <w:spacing w:beforeLines="30" w:before="72" w:afterLines="30" w:after="72" w:line="240" w:lineRule="exact"/>
              <w:ind w:left="714" w:hanging="357"/>
              <w:rPr>
                <w:bCs/>
                <w:i/>
                <w:sz w:val="20"/>
                <w:szCs w:val="20"/>
              </w:rPr>
            </w:pPr>
            <w:r w:rsidRPr="00B151A3">
              <w:rPr>
                <w:bCs/>
                <w:i/>
                <w:sz w:val="20"/>
                <w:szCs w:val="20"/>
              </w:rPr>
              <w:t xml:space="preserve"> If the group WUS resource is configured to be shared by Rel-15 WUS and Rel-16 WUS, the common WUS sequence for all the group WUS UEs in the same WUS resource can be configured to be the Rel-15 WUS sequence or a Rel-16 WUS sequence.</w:t>
            </w:r>
          </w:p>
          <w:p w:rsidR="00FF75D5" w:rsidRPr="00B151A3" w:rsidRDefault="00C62543">
            <w:pPr>
              <w:numPr>
                <w:ilvl w:val="0"/>
                <w:numId w:val="7"/>
              </w:numPr>
              <w:spacing w:beforeLines="30" w:before="72" w:afterLines="30" w:after="72" w:line="240" w:lineRule="exact"/>
              <w:ind w:left="714" w:hanging="357"/>
              <w:rPr>
                <w:bCs/>
                <w:i/>
                <w:sz w:val="20"/>
                <w:szCs w:val="20"/>
              </w:rPr>
            </w:pPr>
            <w:r w:rsidRPr="00B151A3">
              <w:rPr>
                <w:bCs/>
                <w:i/>
                <w:sz w:val="20"/>
                <w:szCs w:val="20"/>
              </w:rPr>
              <w:t xml:space="preserve">Each UE monitors up to X WUS sequences. </w:t>
            </w:r>
          </w:p>
          <w:p w:rsidR="00FF75D5" w:rsidRPr="00B151A3" w:rsidRDefault="00C62543">
            <w:pPr>
              <w:numPr>
                <w:ilvl w:val="0"/>
                <w:numId w:val="7"/>
              </w:numPr>
              <w:spacing w:beforeLines="30" w:before="72" w:afterLines="30" w:after="72" w:line="240" w:lineRule="exact"/>
              <w:ind w:left="714" w:hanging="357"/>
              <w:rPr>
                <w:bCs/>
                <w:i/>
                <w:sz w:val="20"/>
                <w:szCs w:val="20"/>
              </w:rPr>
            </w:pPr>
            <w:r w:rsidRPr="00B151A3">
              <w:rPr>
                <w:bCs/>
                <w:i/>
                <w:sz w:val="20"/>
                <w:szCs w:val="20"/>
              </w:rPr>
              <w:t>Value of X will be selected between 2 and 3</w:t>
            </w:r>
          </w:p>
          <w:p w:rsidR="00FF75D5" w:rsidRPr="00B151A3" w:rsidRDefault="00C62543">
            <w:pPr>
              <w:spacing w:beforeLines="30" w:before="72" w:afterLines="30" w:after="72"/>
              <w:ind w:firstLineChars="400" w:firstLine="800"/>
              <w:rPr>
                <w:rFonts w:eastAsia="宋体"/>
                <w:sz w:val="20"/>
                <w:szCs w:val="20"/>
              </w:rPr>
            </w:pPr>
            <w:r w:rsidRPr="00B151A3">
              <w:rPr>
                <w:rFonts w:eastAsia="宋体"/>
                <w:bCs/>
                <w:i/>
                <w:sz w:val="20"/>
                <w:szCs w:val="20"/>
              </w:rPr>
              <w:t>—</w:t>
            </w:r>
            <w:r w:rsidRPr="00B151A3">
              <w:rPr>
                <w:bCs/>
                <w:i/>
                <w:sz w:val="20"/>
                <w:szCs w:val="20"/>
              </w:rPr>
              <w:t>X=3 can only be supported if a common WUS for a subset of UE groups for service-based grouping is supported</w:t>
            </w:r>
          </w:p>
        </w:tc>
      </w:tr>
    </w:tbl>
    <w:bookmarkEnd w:id="7"/>
    <w:p w:rsidR="00FF75D5" w:rsidRDefault="00C62543">
      <w:pPr>
        <w:spacing w:beforeLines="50" w:before="120" w:after="100"/>
        <w:rPr>
          <w:sz w:val="20"/>
          <w:szCs w:val="20"/>
          <w:lang w:val="en-GB"/>
        </w:rPr>
      </w:pPr>
      <w:r>
        <w:rPr>
          <w:sz w:val="20"/>
          <w:szCs w:val="20"/>
          <w:lang w:val="en-GB"/>
        </w:rPr>
        <w:t>In RAN2 #10</w:t>
      </w:r>
      <w:r>
        <w:rPr>
          <w:rFonts w:eastAsia="宋体" w:hint="eastAsia"/>
          <w:sz w:val="20"/>
          <w:szCs w:val="20"/>
        </w:rPr>
        <w:t>4</w:t>
      </w:r>
      <w:r>
        <w:rPr>
          <w:sz w:val="20"/>
          <w:szCs w:val="20"/>
          <w:lang w:val="en-GB"/>
        </w:rPr>
        <w:t>~#10</w:t>
      </w:r>
      <w:r>
        <w:rPr>
          <w:rFonts w:eastAsia="宋体" w:hint="eastAsia"/>
          <w:sz w:val="20"/>
          <w:szCs w:val="20"/>
        </w:rPr>
        <w:t>6</w:t>
      </w:r>
      <w:r>
        <w:rPr>
          <w:rFonts w:eastAsia="宋体"/>
          <w:sz w:val="20"/>
          <w:szCs w:val="20"/>
        </w:rPr>
        <w:t xml:space="preserve"> </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FF75D5">
        <w:tc>
          <w:tcPr>
            <w:tcW w:w="9606" w:type="dxa"/>
            <w:shd w:val="clear" w:color="auto" w:fill="auto"/>
          </w:tcPr>
          <w:p w:rsidR="00FF75D5" w:rsidRPr="00B151A3" w:rsidRDefault="00C62543">
            <w:pPr>
              <w:spacing w:before="120" w:after="120"/>
              <w:rPr>
                <w:rFonts w:eastAsia="MS Mincho" w:cs="Arial"/>
                <w:sz w:val="20"/>
                <w:szCs w:val="20"/>
                <w:lang w:eastAsia="ja-JP"/>
              </w:rPr>
            </w:pPr>
            <w:r w:rsidRPr="00B151A3">
              <w:rPr>
                <w:rFonts w:eastAsia="MS Mincho" w:cs="Arial"/>
                <w:sz w:val="20"/>
                <w:szCs w:val="20"/>
                <w:highlight w:val="green"/>
                <w:lang w:eastAsia="ja-JP"/>
              </w:rPr>
              <w:t>RAN2#104 agreements:</w:t>
            </w:r>
          </w:p>
          <w:p w:rsidR="00FF75D5" w:rsidRPr="00B151A3" w:rsidRDefault="00C62543">
            <w:pPr>
              <w:numPr>
                <w:ilvl w:val="0"/>
                <w:numId w:val="7"/>
              </w:numPr>
              <w:spacing w:beforeLines="30" w:before="72" w:afterLines="30" w:after="72" w:line="240" w:lineRule="exact"/>
              <w:ind w:left="714" w:hanging="357"/>
              <w:rPr>
                <w:bCs/>
                <w:i/>
                <w:sz w:val="20"/>
                <w:szCs w:val="20"/>
              </w:rPr>
            </w:pPr>
            <w:r w:rsidRPr="00B151A3">
              <w:rPr>
                <w:bCs/>
                <w:i/>
                <w:sz w:val="20"/>
                <w:szCs w:val="20"/>
              </w:rPr>
              <w:t xml:space="preserve">Further discuss the benefit and feasibility of using service based parameters for grouping in addition to UE-ID </w:t>
            </w:r>
          </w:p>
          <w:p w:rsidR="00FF75D5" w:rsidRPr="00B151A3" w:rsidRDefault="00C62543">
            <w:pPr>
              <w:numPr>
                <w:ilvl w:val="0"/>
                <w:numId w:val="7"/>
              </w:numPr>
              <w:spacing w:beforeLines="30" w:before="72" w:afterLines="30" w:after="72" w:line="240" w:lineRule="exact"/>
              <w:ind w:left="714" w:hanging="357"/>
              <w:rPr>
                <w:bCs/>
                <w:i/>
                <w:sz w:val="20"/>
                <w:szCs w:val="20"/>
                <w:lang w:eastAsia="en-US"/>
              </w:rPr>
            </w:pPr>
            <w:r w:rsidRPr="00B151A3">
              <w:rPr>
                <w:bCs/>
                <w:i/>
                <w:sz w:val="20"/>
                <w:szCs w:val="20"/>
                <w:lang w:eastAsia="en-US"/>
              </w:rPr>
              <w:t xml:space="preserve">Can discuss group distribution further, including Rel-15/16 mechanism interaction, once we know more about number of groups and more about the grouping solution (e.g. service based parameters) </w:t>
            </w:r>
          </w:p>
          <w:p w:rsidR="00FF75D5" w:rsidRPr="00B151A3" w:rsidRDefault="00C62543">
            <w:pPr>
              <w:numPr>
                <w:ilvl w:val="0"/>
                <w:numId w:val="7"/>
              </w:numPr>
              <w:spacing w:beforeLines="30" w:before="72" w:afterLines="30" w:after="72" w:line="240" w:lineRule="exact"/>
              <w:ind w:left="714" w:hanging="357"/>
              <w:rPr>
                <w:bCs/>
                <w:i/>
                <w:sz w:val="20"/>
                <w:szCs w:val="20"/>
                <w:lang w:eastAsia="en-GB"/>
              </w:rPr>
            </w:pPr>
            <w:r w:rsidRPr="00B151A3">
              <w:rPr>
                <w:bCs/>
                <w:i/>
                <w:sz w:val="20"/>
                <w:szCs w:val="20"/>
                <w:lang w:eastAsia="en-US"/>
              </w:rPr>
              <w:t>RAN2 will decide on the UE to WUS group mapping</w:t>
            </w:r>
          </w:p>
          <w:p w:rsidR="00FF75D5" w:rsidRPr="00B151A3" w:rsidRDefault="00C62543">
            <w:pPr>
              <w:spacing w:before="120" w:after="120"/>
              <w:rPr>
                <w:rFonts w:eastAsia="MS Mincho" w:cs="Arial"/>
                <w:sz w:val="20"/>
                <w:szCs w:val="20"/>
                <w:highlight w:val="green"/>
                <w:lang w:eastAsia="ja-JP"/>
              </w:rPr>
            </w:pPr>
            <w:bookmarkStart w:id="8" w:name="OLE_LINK7"/>
            <w:r w:rsidRPr="00B151A3">
              <w:rPr>
                <w:rFonts w:eastAsia="MS Mincho" w:cs="Arial"/>
                <w:sz w:val="20"/>
                <w:szCs w:val="20"/>
                <w:highlight w:val="green"/>
                <w:lang w:eastAsia="ja-JP"/>
              </w:rPr>
              <w:t>RAN2#105 agreements:</w:t>
            </w:r>
          </w:p>
          <w:bookmarkEnd w:id="8"/>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Feasibility of the solution based on the following attributes for deriving the service-type for GWUS can be studied further.</w:t>
            </w:r>
          </w:p>
          <w:p w:rsidR="00FF75D5" w:rsidRPr="00B151A3" w:rsidRDefault="00C62543">
            <w:pPr>
              <w:numPr>
                <w:ilvl w:val="1"/>
                <w:numId w:val="7"/>
              </w:numPr>
              <w:spacing w:beforeLines="30" w:before="72" w:afterLines="30" w:after="72" w:line="240" w:lineRule="exact"/>
              <w:ind w:hanging="357"/>
              <w:rPr>
                <w:bCs/>
                <w:i/>
                <w:sz w:val="20"/>
                <w:szCs w:val="20"/>
                <w:lang w:eastAsia="ja-JP"/>
              </w:rPr>
            </w:pPr>
            <w:r w:rsidRPr="00B151A3">
              <w:rPr>
                <w:bCs/>
                <w:i/>
                <w:sz w:val="20"/>
                <w:szCs w:val="20"/>
                <w:lang w:eastAsia="ja-JP"/>
              </w:rPr>
              <w:lastRenderedPageBreak/>
              <w:t xml:space="preserve"> </w:t>
            </w:r>
            <w:r w:rsidRPr="00B151A3">
              <w:rPr>
                <w:rFonts w:hint="eastAsia"/>
                <w:bCs/>
                <w:i/>
                <w:sz w:val="20"/>
                <w:szCs w:val="20"/>
                <w:lang w:eastAsia="ja-JP"/>
              </w:rPr>
              <w:t>Paging Probability</w:t>
            </w:r>
          </w:p>
          <w:p w:rsidR="00FF75D5" w:rsidRPr="00B151A3" w:rsidRDefault="00C62543">
            <w:pPr>
              <w:numPr>
                <w:ilvl w:val="1"/>
                <w:numId w:val="7"/>
              </w:numPr>
              <w:spacing w:beforeLines="30" w:before="72" w:afterLines="30" w:after="72" w:line="240" w:lineRule="exact"/>
              <w:ind w:hanging="357"/>
              <w:rPr>
                <w:sz w:val="20"/>
                <w:szCs w:val="20"/>
              </w:rPr>
            </w:pPr>
            <w:r w:rsidRPr="00B151A3">
              <w:rPr>
                <w:bCs/>
                <w:i/>
                <w:sz w:val="20"/>
                <w:szCs w:val="20"/>
                <w:lang w:eastAsia="ja-JP"/>
              </w:rPr>
              <w:t xml:space="preserve"> </w:t>
            </w:r>
            <w:r w:rsidRPr="00B151A3">
              <w:rPr>
                <w:rFonts w:hint="eastAsia"/>
                <w:bCs/>
                <w:i/>
                <w:sz w:val="20"/>
                <w:szCs w:val="20"/>
                <w:lang w:eastAsia="ja-JP"/>
              </w:rPr>
              <w:t xml:space="preserve">Mobility </w:t>
            </w:r>
          </w:p>
          <w:p w:rsidR="00FF75D5" w:rsidRPr="00B151A3" w:rsidRDefault="00C62543">
            <w:pPr>
              <w:spacing w:before="120" w:after="120"/>
              <w:rPr>
                <w:rFonts w:eastAsia="MS Mincho" w:cs="Arial"/>
                <w:sz w:val="20"/>
                <w:szCs w:val="20"/>
                <w:highlight w:val="green"/>
                <w:lang w:eastAsia="ja-JP"/>
              </w:rPr>
            </w:pPr>
            <w:r w:rsidRPr="00B151A3">
              <w:rPr>
                <w:rFonts w:eastAsia="MS Mincho" w:cs="Arial"/>
                <w:sz w:val="20"/>
                <w:szCs w:val="20"/>
                <w:highlight w:val="green"/>
                <w:lang w:eastAsia="ja-JP"/>
              </w:rPr>
              <w:t>RAN2#105</w:t>
            </w:r>
            <w:r w:rsidRPr="00B151A3">
              <w:rPr>
                <w:rFonts w:eastAsia="MS Mincho" w:cs="Arial" w:hint="eastAsia"/>
                <w:sz w:val="20"/>
                <w:szCs w:val="20"/>
                <w:highlight w:val="green"/>
                <w:lang w:eastAsia="ja-JP"/>
              </w:rPr>
              <w:t>bis</w:t>
            </w:r>
            <w:r w:rsidRPr="00B151A3">
              <w:rPr>
                <w:rFonts w:eastAsia="MS Mincho" w:cs="Arial"/>
                <w:sz w:val="20"/>
                <w:szCs w:val="20"/>
                <w:highlight w:val="green"/>
                <w:lang w:eastAsia="ja-JP"/>
              </w:rPr>
              <w:t xml:space="preserve"> agreements:</w:t>
            </w:r>
          </w:p>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Additional grouping based on DRX/eDRX is not supported</w:t>
            </w:r>
          </w:p>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Coverage based grouping is not supported</w:t>
            </w:r>
          </w:p>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Additional grouping based on gap is not supported</w:t>
            </w:r>
          </w:p>
          <w:p w:rsidR="00FF75D5" w:rsidRPr="00B151A3" w:rsidRDefault="00C62543">
            <w:pPr>
              <w:numPr>
                <w:ilvl w:val="1"/>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FFS whether number of groups can depend on gap duration.</w:t>
            </w:r>
          </w:p>
          <w:p w:rsidR="00FF75D5" w:rsidRPr="00B151A3" w:rsidRDefault="00C62543">
            <w:pPr>
              <w:spacing w:before="120" w:after="120"/>
              <w:rPr>
                <w:rFonts w:eastAsia="MS Mincho" w:cs="Arial"/>
                <w:sz w:val="20"/>
                <w:szCs w:val="20"/>
                <w:highlight w:val="green"/>
                <w:lang w:eastAsia="ja-JP"/>
              </w:rPr>
            </w:pPr>
            <w:bookmarkStart w:id="9" w:name="OLE_LINK6"/>
            <w:r w:rsidRPr="00B151A3">
              <w:rPr>
                <w:rFonts w:eastAsia="MS Mincho" w:cs="Arial"/>
                <w:sz w:val="20"/>
                <w:szCs w:val="20"/>
                <w:highlight w:val="green"/>
                <w:lang w:eastAsia="ja-JP"/>
              </w:rPr>
              <w:t>RAN2#10</w:t>
            </w:r>
            <w:r w:rsidRPr="00B151A3">
              <w:rPr>
                <w:rFonts w:eastAsia="宋体" w:cs="Arial" w:hint="eastAsia"/>
                <w:sz w:val="20"/>
                <w:szCs w:val="20"/>
                <w:highlight w:val="green"/>
              </w:rPr>
              <w:t>6</w:t>
            </w:r>
            <w:r w:rsidRPr="00B151A3">
              <w:rPr>
                <w:rFonts w:eastAsia="MS Mincho" w:cs="Arial"/>
                <w:sz w:val="20"/>
                <w:szCs w:val="20"/>
                <w:highlight w:val="green"/>
                <w:lang w:eastAsia="ja-JP"/>
              </w:rPr>
              <w:t xml:space="preserve"> agreements:</w:t>
            </w:r>
          </w:p>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WUS grouping based on paging probability is beneficial for improving false wake-up probability for UEs which are not frequently paged, but may increase false wake-up probability for UEs which are frequently paged.</w:t>
            </w:r>
          </w:p>
          <w:p w:rsidR="00FF75D5" w:rsidRPr="00B151A3" w:rsidRDefault="00C62543">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Send an LS to SA2, cc RAN3, CT1, to ask about the feasibility and impact for the MME to provide information on UE paging probability.</w:t>
            </w:r>
          </w:p>
          <w:p w:rsidR="00FF75D5" w:rsidRPr="00B151A3" w:rsidRDefault="00C62543" w:rsidP="007014BB">
            <w:pPr>
              <w:numPr>
                <w:ilvl w:val="0"/>
                <w:numId w:val="7"/>
              </w:numPr>
              <w:spacing w:beforeLines="30" w:before="72" w:afterLines="30" w:after="72" w:line="240" w:lineRule="exact"/>
              <w:ind w:hanging="357"/>
              <w:rPr>
                <w:bCs/>
                <w:i/>
                <w:sz w:val="20"/>
                <w:szCs w:val="20"/>
                <w:lang w:eastAsia="ja-JP"/>
              </w:rPr>
            </w:pPr>
            <w:r w:rsidRPr="00B151A3">
              <w:rPr>
                <w:rFonts w:hint="eastAsia"/>
                <w:bCs/>
                <w:i/>
                <w:sz w:val="20"/>
                <w:szCs w:val="20"/>
                <w:lang w:eastAsia="ja-JP"/>
              </w:rPr>
              <w:t>R2-</w:t>
            </w:r>
            <w:bookmarkStart w:id="10" w:name="OLE_LINK4"/>
            <w:r w:rsidRPr="00B151A3">
              <w:rPr>
                <w:rFonts w:hint="eastAsia"/>
                <w:bCs/>
                <w:i/>
                <w:sz w:val="20"/>
                <w:szCs w:val="20"/>
                <w:lang w:eastAsia="ja-JP"/>
              </w:rPr>
              <w:t>1908260</w:t>
            </w:r>
            <w:bookmarkEnd w:id="10"/>
            <w:r w:rsidRPr="00B151A3">
              <w:rPr>
                <w:rFonts w:hint="eastAsia"/>
                <w:bCs/>
                <w:i/>
                <w:sz w:val="20"/>
                <w:szCs w:val="20"/>
                <w:lang w:eastAsia="ja-JP"/>
              </w:rPr>
              <w:t xml:space="preserve"> LS on assistance indication for WUS grouping is agreed</w:t>
            </w:r>
            <w:bookmarkEnd w:id="9"/>
          </w:p>
        </w:tc>
      </w:tr>
    </w:tbl>
    <w:p w:rsidR="00FF75D5" w:rsidRDefault="00C62543">
      <w:pPr>
        <w:spacing w:beforeLines="50" w:before="120" w:after="100"/>
        <w:rPr>
          <w:sz w:val="20"/>
          <w:szCs w:val="20"/>
        </w:rPr>
      </w:pPr>
      <w:bookmarkStart w:id="11" w:name="OLE_LINK1"/>
      <w:r>
        <w:rPr>
          <w:sz w:val="20"/>
          <w:szCs w:val="20"/>
        </w:rPr>
        <w:lastRenderedPageBreak/>
        <w:t xml:space="preserve">In this contribution, we will discuss </w:t>
      </w:r>
      <w:r>
        <w:rPr>
          <w:rFonts w:eastAsia="宋体"/>
          <w:bCs/>
          <w:sz w:val="20"/>
          <w:szCs w:val="20"/>
        </w:rPr>
        <w:t>the</w:t>
      </w:r>
      <w:r>
        <w:rPr>
          <w:rFonts w:eastAsia="宋体" w:hint="eastAsia"/>
          <w:bCs/>
          <w:sz w:val="20"/>
          <w:szCs w:val="20"/>
        </w:rPr>
        <w:t xml:space="preserve"> </w:t>
      </w:r>
      <w:r>
        <w:rPr>
          <w:rFonts w:eastAsia="宋体"/>
          <w:bCs/>
          <w:sz w:val="20"/>
          <w:szCs w:val="20"/>
        </w:rPr>
        <w:t xml:space="preserve">remaining issues for </w:t>
      </w:r>
      <w:r>
        <w:rPr>
          <w:rFonts w:eastAsia="宋体" w:hint="eastAsia"/>
          <w:bCs/>
          <w:sz w:val="20"/>
          <w:szCs w:val="20"/>
        </w:rPr>
        <w:t>UE grouping for WUS and give our proposa</w:t>
      </w:r>
      <w:r>
        <w:rPr>
          <w:sz w:val="20"/>
          <w:szCs w:val="20"/>
        </w:rPr>
        <w:t>ls.</w:t>
      </w:r>
    </w:p>
    <w:p w:rsidR="00FF75D5" w:rsidRDefault="00C62543">
      <w:pPr>
        <w:pStyle w:val="1"/>
        <w:spacing w:before="200" w:after="120" w:line="360" w:lineRule="auto"/>
        <w:ind w:left="431" w:hanging="431"/>
        <w:rPr>
          <w:lang w:val="en-US"/>
        </w:rPr>
      </w:pPr>
      <w:r>
        <w:rPr>
          <w:lang w:val="en-US"/>
        </w:rPr>
        <w:t>Discussion</w:t>
      </w:r>
    </w:p>
    <w:p w:rsidR="00FF75D5" w:rsidRDefault="00C62543">
      <w:pPr>
        <w:pStyle w:val="2"/>
        <w:spacing w:before="200"/>
        <w:rPr>
          <w:rFonts w:eastAsia="宋体"/>
        </w:rPr>
      </w:pPr>
      <w:r>
        <w:rPr>
          <w:rFonts w:eastAsia="宋体" w:hint="eastAsia"/>
        </w:rPr>
        <w:t xml:space="preserve">2.1 </w:t>
      </w:r>
      <w:r>
        <w:rPr>
          <w:rFonts w:eastAsia="宋体"/>
        </w:rPr>
        <w:t xml:space="preserve">The </w:t>
      </w:r>
      <w:r>
        <w:rPr>
          <w:rFonts w:eastAsia="宋体" w:hint="eastAsia"/>
        </w:rPr>
        <w:t>related configuration</w:t>
      </w:r>
      <w:r>
        <w:rPr>
          <w:rFonts w:eastAsia="宋体"/>
        </w:rPr>
        <w:t xml:space="preserve"> for </w:t>
      </w:r>
      <w:r>
        <w:rPr>
          <w:rFonts w:eastAsia="宋体" w:hint="eastAsia"/>
        </w:rPr>
        <w:t>R16</w:t>
      </w:r>
      <w:r>
        <w:rPr>
          <w:rFonts w:eastAsia="宋体"/>
        </w:rPr>
        <w:t xml:space="preserve"> WUS</w:t>
      </w:r>
    </w:p>
    <w:p w:rsidR="00FF75D5" w:rsidRDefault="00C62543">
      <w:pPr>
        <w:spacing w:before="60" w:after="60" w:line="300" w:lineRule="exact"/>
        <w:rPr>
          <w:sz w:val="20"/>
          <w:szCs w:val="20"/>
        </w:rPr>
      </w:pPr>
      <w:r>
        <w:rPr>
          <w:rFonts w:hint="eastAsia"/>
          <w:sz w:val="20"/>
          <w:szCs w:val="20"/>
        </w:rPr>
        <w:t xml:space="preserve">For the issues </w:t>
      </w:r>
      <w:r>
        <w:rPr>
          <w:sz w:val="20"/>
          <w:szCs w:val="20"/>
        </w:rPr>
        <w:t>about the dimension for further UE grouping WUS</w:t>
      </w:r>
      <w:r>
        <w:rPr>
          <w:rFonts w:hint="eastAsia"/>
          <w:sz w:val="20"/>
          <w:szCs w:val="20"/>
        </w:rPr>
        <w:t xml:space="preserve"> and WUS</w:t>
      </w:r>
      <w:r>
        <w:rPr>
          <w:sz w:val="20"/>
          <w:szCs w:val="20"/>
        </w:rPr>
        <w:t xml:space="preserve"> resource allocation</w:t>
      </w:r>
      <w:r>
        <w:rPr>
          <w:rFonts w:hint="eastAsia"/>
          <w:sz w:val="20"/>
          <w:szCs w:val="20"/>
        </w:rPr>
        <w:t xml:space="preserve">, </w:t>
      </w:r>
      <w:r>
        <w:rPr>
          <w:sz w:val="20"/>
          <w:szCs w:val="20"/>
        </w:rPr>
        <w:t>in RAN</w:t>
      </w:r>
      <w:r>
        <w:rPr>
          <w:rFonts w:hint="eastAsia"/>
          <w:sz w:val="20"/>
          <w:szCs w:val="20"/>
        </w:rPr>
        <w:t>1</w:t>
      </w:r>
      <w:r>
        <w:rPr>
          <w:sz w:val="20"/>
          <w:szCs w:val="20"/>
        </w:rPr>
        <w:t>#</w:t>
      </w:r>
      <w:r>
        <w:rPr>
          <w:rFonts w:hint="eastAsia"/>
          <w:sz w:val="20"/>
          <w:szCs w:val="20"/>
        </w:rPr>
        <w:t>96bis</w:t>
      </w:r>
      <w:r>
        <w:rPr>
          <w:sz w:val="20"/>
          <w:szCs w:val="20"/>
        </w:rPr>
        <w:t xml:space="preserve"> meeting, </w:t>
      </w:r>
      <w:r>
        <w:rPr>
          <w:rFonts w:hint="eastAsia"/>
          <w:sz w:val="20"/>
          <w:szCs w:val="20"/>
        </w:rPr>
        <w:t>RAN1 has made some related agreements as follows:</w:t>
      </w:r>
    </w:p>
    <w:p w:rsidR="00FF75D5" w:rsidRDefault="00C62543">
      <w:pPr>
        <w:numPr>
          <w:ilvl w:val="0"/>
          <w:numId w:val="7"/>
        </w:numPr>
        <w:spacing w:beforeLines="30" w:before="72" w:afterLines="30" w:after="72"/>
        <w:rPr>
          <w:bCs/>
          <w:i/>
          <w:sz w:val="20"/>
          <w:szCs w:val="20"/>
        </w:rPr>
      </w:pPr>
      <w:r>
        <w:rPr>
          <w:rFonts w:hint="eastAsia"/>
          <w:bCs/>
          <w:i/>
          <w:sz w:val="20"/>
          <w:szCs w:val="20"/>
        </w:rPr>
        <w:t>Per default, all gaps use the same group WUS configuration regarding number of groups and group</w:t>
      </w:r>
      <w:bookmarkStart w:id="12" w:name="OLE_LINK15"/>
      <w:r>
        <w:rPr>
          <w:rFonts w:hint="eastAsia"/>
          <w:bCs/>
          <w:i/>
          <w:sz w:val="20"/>
          <w:szCs w:val="20"/>
        </w:rPr>
        <w:t xml:space="preserve"> WUS resource allocation</w:t>
      </w:r>
      <w:bookmarkEnd w:id="12"/>
      <w:r>
        <w:rPr>
          <w:rFonts w:hint="eastAsia"/>
          <w:bCs/>
          <w:i/>
          <w:sz w:val="20"/>
          <w:szCs w:val="20"/>
        </w:rPr>
        <w:t>.</w:t>
      </w:r>
    </w:p>
    <w:p w:rsidR="00FF75D5" w:rsidRDefault="00C62543">
      <w:pPr>
        <w:numPr>
          <w:ilvl w:val="0"/>
          <w:numId w:val="7"/>
        </w:numPr>
        <w:spacing w:beforeLines="30" w:before="72" w:afterLines="30" w:after="72"/>
        <w:rPr>
          <w:bCs/>
          <w:i/>
          <w:sz w:val="20"/>
          <w:szCs w:val="20"/>
        </w:rPr>
      </w:pPr>
      <w:r>
        <w:rPr>
          <w:rFonts w:hint="eastAsia"/>
          <w:bCs/>
          <w:i/>
          <w:sz w:val="20"/>
          <w:szCs w:val="20"/>
        </w:rPr>
        <w:t>Optionally, eDRX gap(s) may be configured individually if separate from the DRX gap.</w:t>
      </w:r>
    </w:p>
    <w:p w:rsidR="00FF75D5" w:rsidRDefault="00C62543">
      <w:pPr>
        <w:spacing w:before="60" w:after="60" w:line="300" w:lineRule="exact"/>
        <w:rPr>
          <w:rFonts w:eastAsia="宋体"/>
          <w:b/>
          <w:sz w:val="20"/>
          <w:szCs w:val="20"/>
        </w:rPr>
      </w:pPr>
      <w:r>
        <w:rPr>
          <w:rFonts w:hint="eastAsia"/>
          <w:sz w:val="20"/>
          <w:szCs w:val="20"/>
        </w:rPr>
        <w:t xml:space="preserve">According to the above agreements, if all gaps have the same number of groups, maybe only one common configuration of number of groups for all gaps would be needed as the default. </w:t>
      </w:r>
      <w:r>
        <w:rPr>
          <w:sz w:val="20"/>
          <w:szCs w:val="20"/>
        </w:rPr>
        <w:t xml:space="preserve">E.g., </w:t>
      </w:r>
      <w:r>
        <w:rPr>
          <w:rFonts w:hint="eastAsia"/>
          <w:sz w:val="20"/>
          <w:szCs w:val="20"/>
        </w:rPr>
        <w:t xml:space="preserve">a </w:t>
      </w:r>
      <w:r>
        <w:rPr>
          <w:iCs/>
          <w:sz w:val="20"/>
          <w:szCs w:val="20"/>
        </w:rPr>
        <w:t>field of ‘</w:t>
      </w:r>
      <w:r>
        <w:rPr>
          <w:i/>
          <w:iCs/>
          <w:sz w:val="20"/>
          <w:szCs w:val="20"/>
        </w:rPr>
        <w:t>number of groups’</w:t>
      </w:r>
      <w:r>
        <w:rPr>
          <w:iCs/>
          <w:sz w:val="20"/>
          <w:szCs w:val="20"/>
        </w:rPr>
        <w:t xml:space="preserve"> </w:t>
      </w:r>
      <w:r>
        <w:rPr>
          <w:rFonts w:hint="eastAsia"/>
          <w:sz w:val="20"/>
          <w:szCs w:val="20"/>
        </w:rPr>
        <w:t>shall be configured as the global parameter for all the gap</w:t>
      </w:r>
      <w:r>
        <w:rPr>
          <w:sz w:val="20"/>
          <w:szCs w:val="20"/>
        </w:rPr>
        <w:t xml:space="preserve"> type</w:t>
      </w:r>
      <w:r>
        <w:rPr>
          <w:rFonts w:hint="eastAsia"/>
          <w:sz w:val="20"/>
          <w:szCs w:val="20"/>
        </w:rPr>
        <w:t>s.</w:t>
      </w:r>
      <w:r>
        <w:rPr>
          <w:sz w:val="20"/>
          <w:szCs w:val="20"/>
        </w:rPr>
        <w:t xml:space="preserve"> At the same time, </w:t>
      </w:r>
      <w:r>
        <w:rPr>
          <w:rFonts w:hint="eastAsia"/>
          <w:sz w:val="20"/>
          <w:szCs w:val="20"/>
        </w:rPr>
        <w:t>in order to get better group performance</w:t>
      </w:r>
      <w:r>
        <w:rPr>
          <w:sz w:val="20"/>
          <w:szCs w:val="20"/>
        </w:rPr>
        <w:t xml:space="preserve">, it’s also allowed </w:t>
      </w:r>
      <w:r>
        <w:rPr>
          <w:rFonts w:hint="eastAsia"/>
          <w:sz w:val="20"/>
          <w:szCs w:val="20"/>
        </w:rPr>
        <w:t xml:space="preserve">each gap type </w:t>
      </w:r>
      <w:r>
        <w:rPr>
          <w:sz w:val="20"/>
          <w:szCs w:val="20"/>
        </w:rPr>
        <w:t>could</w:t>
      </w:r>
      <w:r>
        <w:rPr>
          <w:rFonts w:hint="eastAsia"/>
          <w:sz w:val="20"/>
          <w:szCs w:val="20"/>
        </w:rPr>
        <w:t xml:space="preserve"> be configured with a </w:t>
      </w:r>
      <w:r>
        <w:rPr>
          <w:sz w:val="20"/>
          <w:szCs w:val="20"/>
        </w:rPr>
        <w:t>more suitable</w:t>
      </w:r>
      <w:r>
        <w:rPr>
          <w:rFonts w:hint="eastAsia"/>
          <w:sz w:val="20"/>
          <w:szCs w:val="20"/>
        </w:rPr>
        <w:t xml:space="preserve"> number of groups based on the number of UEs with</w:t>
      </w:r>
      <w:r>
        <w:rPr>
          <w:sz w:val="20"/>
          <w:szCs w:val="20"/>
        </w:rPr>
        <w:t>in</w:t>
      </w:r>
      <w:r>
        <w:rPr>
          <w:rFonts w:hint="eastAsia"/>
          <w:sz w:val="20"/>
          <w:szCs w:val="20"/>
        </w:rPr>
        <w:t xml:space="preserve"> the corresponding gap type</w:t>
      </w:r>
      <w:r>
        <w:rPr>
          <w:sz w:val="20"/>
          <w:szCs w:val="20"/>
        </w:rPr>
        <w:t>. E.g., several</w:t>
      </w:r>
      <w:r>
        <w:rPr>
          <w:rFonts w:hint="eastAsia"/>
          <w:sz w:val="20"/>
          <w:szCs w:val="20"/>
        </w:rPr>
        <w:t xml:space="preserve"> </w:t>
      </w:r>
      <w:r>
        <w:rPr>
          <w:iCs/>
          <w:sz w:val="20"/>
          <w:szCs w:val="20"/>
        </w:rPr>
        <w:t xml:space="preserve">fields like </w:t>
      </w:r>
      <w:r>
        <w:rPr>
          <w:sz w:val="20"/>
          <w:szCs w:val="20"/>
        </w:rPr>
        <w:t>‘</w:t>
      </w:r>
      <w:r>
        <w:rPr>
          <w:rFonts w:hint="eastAsia"/>
          <w:i/>
          <w:iCs/>
          <w:sz w:val="20"/>
          <w:szCs w:val="20"/>
        </w:rPr>
        <w:t>number</w:t>
      </w:r>
      <w:r>
        <w:rPr>
          <w:i/>
          <w:iCs/>
          <w:sz w:val="20"/>
          <w:szCs w:val="20"/>
        </w:rPr>
        <w:t xml:space="preserve"> </w:t>
      </w:r>
      <w:r>
        <w:rPr>
          <w:rFonts w:hint="eastAsia"/>
          <w:i/>
          <w:iCs/>
          <w:sz w:val="20"/>
          <w:szCs w:val="20"/>
        </w:rPr>
        <w:t>of groups_DRX gap</w:t>
      </w:r>
      <w:r>
        <w:rPr>
          <w:sz w:val="20"/>
          <w:szCs w:val="20"/>
        </w:rPr>
        <w:t>’</w:t>
      </w:r>
      <w:r>
        <w:rPr>
          <w:rFonts w:hint="eastAsia"/>
          <w:sz w:val="20"/>
          <w:szCs w:val="20"/>
        </w:rPr>
        <w:t xml:space="preserve">, </w:t>
      </w:r>
      <w:r>
        <w:rPr>
          <w:sz w:val="20"/>
          <w:szCs w:val="20"/>
        </w:rPr>
        <w:t>‘</w:t>
      </w:r>
      <w:r>
        <w:rPr>
          <w:rFonts w:hint="eastAsia"/>
          <w:i/>
          <w:iCs/>
          <w:sz w:val="20"/>
          <w:szCs w:val="20"/>
        </w:rPr>
        <w:t>number</w:t>
      </w:r>
      <w:r>
        <w:rPr>
          <w:i/>
          <w:iCs/>
          <w:sz w:val="20"/>
          <w:szCs w:val="20"/>
        </w:rPr>
        <w:t xml:space="preserve"> </w:t>
      </w:r>
      <w:r>
        <w:rPr>
          <w:rFonts w:hint="eastAsia"/>
          <w:i/>
          <w:iCs/>
          <w:sz w:val="20"/>
          <w:szCs w:val="20"/>
        </w:rPr>
        <w:t>of groups_short_eDRX gap</w:t>
      </w:r>
      <w:r>
        <w:rPr>
          <w:sz w:val="20"/>
          <w:szCs w:val="20"/>
        </w:rPr>
        <w:t>’</w:t>
      </w:r>
      <w:r>
        <w:rPr>
          <w:rFonts w:hint="eastAsia"/>
          <w:sz w:val="20"/>
          <w:szCs w:val="20"/>
        </w:rPr>
        <w:t xml:space="preserve">, </w:t>
      </w:r>
      <w:r>
        <w:rPr>
          <w:sz w:val="20"/>
          <w:szCs w:val="20"/>
        </w:rPr>
        <w:t>‘</w:t>
      </w:r>
      <w:r>
        <w:rPr>
          <w:rFonts w:hint="eastAsia"/>
          <w:i/>
          <w:iCs/>
          <w:sz w:val="20"/>
          <w:szCs w:val="20"/>
        </w:rPr>
        <w:t>numberof groups_long_eDRX gap</w:t>
      </w:r>
      <w:r>
        <w:rPr>
          <w:sz w:val="20"/>
          <w:szCs w:val="20"/>
        </w:rPr>
        <w:t>’</w:t>
      </w:r>
      <w:r>
        <w:rPr>
          <w:rFonts w:hint="eastAsia"/>
          <w:sz w:val="20"/>
          <w:szCs w:val="20"/>
        </w:rPr>
        <w:t xml:space="preserve"> </w:t>
      </w:r>
      <w:r>
        <w:rPr>
          <w:sz w:val="20"/>
          <w:szCs w:val="20"/>
        </w:rPr>
        <w:t>could</w:t>
      </w:r>
      <w:r>
        <w:rPr>
          <w:rFonts w:hint="eastAsia"/>
          <w:sz w:val="20"/>
          <w:szCs w:val="20"/>
        </w:rPr>
        <w:t xml:space="preserve"> be configured for</w:t>
      </w:r>
      <w:r>
        <w:rPr>
          <w:sz w:val="20"/>
          <w:szCs w:val="20"/>
        </w:rPr>
        <w:t xml:space="preserve"> </w:t>
      </w:r>
      <w:r>
        <w:rPr>
          <w:rFonts w:hint="eastAsia"/>
          <w:sz w:val="20"/>
          <w:szCs w:val="20"/>
        </w:rPr>
        <w:t>the corresponding gap type in the structure of each gap type</w:t>
      </w:r>
      <w:r>
        <w:rPr>
          <w:sz w:val="20"/>
          <w:szCs w:val="20"/>
        </w:rPr>
        <w:t xml:space="preserve">. The </w:t>
      </w:r>
      <w:r>
        <w:rPr>
          <w:rFonts w:hint="eastAsia"/>
          <w:sz w:val="20"/>
          <w:szCs w:val="20"/>
        </w:rPr>
        <w:t>number of UEs with</w:t>
      </w:r>
      <w:r>
        <w:rPr>
          <w:sz w:val="20"/>
          <w:szCs w:val="20"/>
        </w:rPr>
        <w:t>in</w:t>
      </w:r>
      <w:r>
        <w:rPr>
          <w:rFonts w:hint="eastAsia"/>
          <w:sz w:val="20"/>
          <w:szCs w:val="20"/>
        </w:rPr>
        <w:t xml:space="preserve"> the corresponding gap type can be evaluated by eNB. </w:t>
      </w:r>
    </w:p>
    <w:p w:rsidR="00FF75D5" w:rsidRDefault="00C62543">
      <w:pPr>
        <w:numPr>
          <w:ilvl w:val="255"/>
          <w:numId w:val="0"/>
        </w:numPr>
        <w:spacing w:before="120" w:after="60" w:line="300" w:lineRule="exact"/>
        <w:rPr>
          <w:sz w:val="20"/>
          <w:szCs w:val="20"/>
        </w:rPr>
      </w:pPr>
      <w:bookmarkStart w:id="13" w:name="OLE_LINK9"/>
      <w:r>
        <w:rPr>
          <w:rFonts w:eastAsia="宋体"/>
          <w:b/>
          <w:sz w:val="20"/>
          <w:szCs w:val="20"/>
        </w:rPr>
        <w:t>Proposal</w:t>
      </w:r>
      <w:r>
        <w:rPr>
          <w:rFonts w:eastAsia="宋体" w:hint="eastAsia"/>
          <w:b/>
          <w:sz w:val="20"/>
          <w:szCs w:val="20"/>
        </w:rPr>
        <w:t xml:space="preserve"> 1: </w:t>
      </w:r>
      <w:r>
        <w:rPr>
          <w:rFonts w:eastAsia="宋体"/>
          <w:b/>
          <w:sz w:val="20"/>
          <w:szCs w:val="20"/>
        </w:rPr>
        <w:t xml:space="preserve">According RAN1 agreements, </w:t>
      </w:r>
      <w:r>
        <w:rPr>
          <w:rFonts w:eastAsia="宋体" w:hint="eastAsia"/>
          <w:b/>
          <w:sz w:val="20"/>
          <w:szCs w:val="20"/>
        </w:rPr>
        <w:t xml:space="preserve">RAN2 needs to </w:t>
      </w:r>
      <w:r>
        <w:rPr>
          <w:rFonts w:eastAsia="宋体"/>
          <w:b/>
          <w:sz w:val="20"/>
          <w:szCs w:val="20"/>
        </w:rPr>
        <w:t>provide both common configuration of number of WUS groups for all gap types and separate configuration of number of WUS groups for separate gap types.</w:t>
      </w:r>
    </w:p>
    <w:bookmarkEnd w:id="13"/>
    <w:p w:rsidR="00FF75D5" w:rsidRDefault="00C62543" w:rsidP="00B151A3">
      <w:pPr>
        <w:numPr>
          <w:ilvl w:val="255"/>
          <w:numId w:val="0"/>
        </w:numPr>
        <w:spacing w:before="60" w:after="60" w:line="300" w:lineRule="exact"/>
        <w:rPr>
          <w:sz w:val="20"/>
          <w:szCs w:val="20"/>
        </w:rPr>
      </w:pPr>
      <w:r>
        <w:rPr>
          <w:rFonts w:hint="eastAsia"/>
          <w:sz w:val="20"/>
          <w:szCs w:val="20"/>
        </w:rPr>
        <w:t xml:space="preserve"> </w:t>
      </w:r>
    </w:p>
    <w:p w:rsidR="00FF75D5" w:rsidRPr="00B151A3" w:rsidRDefault="00C62543" w:rsidP="00B151A3">
      <w:pPr>
        <w:numPr>
          <w:ilvl w:val="255"/>
          <w:numId w:val="0"/>
        </w:numPr>
        <w:spacing w:before="60" w:after="60" w:line="300" w:lineRule="exact"/>
        <w:rPr>
          <w:rFonts w:eastAsia="宋体"/>
          <w:sz w:val="20"/>
          <w:szCs w:val="20"/>
        </w:rPr>
      </w:pPr>
      <w:r>
        <w:rPr>
          <w:rFonts w:eastAsia="宋体" w:hint="eastAsia"/>
          <w:sz w:val="20"/>
          <w:szCs w:val="20"/>
        </w:rPr>
        <w:t>For the issue of common WUS,</w:t>
      </w:r>
      <w:r w:rsidR="007014BB">
        <w:rPr>
          <w:rFonts w:eastAsia="宋体"/>
          <w:sz w:val="20"/>
          <w:szCs w:val="20"/>
        </w:rPr>
        <w:t xml:space="preserve"> </w:t>
      </w:r>
      <w:r>
        <w:rPr>
          <w:rFonts w:eastAsia="宋体" w:hint="eastAsia"/>
          <w:sz w:val="20"/>
          <w:szCs w:val="20"/>
        </w:rPr>
        <w:t xml:space="preserve">RAN1 has made some discussion and agreements in the previous meetings. </w:t>
      </w:r>
      <w:r>
        <w:rPr>
          <w:rFonts w:hint="eastAsia"/>
          <w:sz w:val="20"/>
          <w:szCs w:val="20"/>
        </w:rPr>
        <w:t xml:space="preserve">As the common WUS is configurable, a </w:t>
      </w:r>
      <w:r>
        <w:rPr>
          <w:sz w:val="20"/>
          <w:szCs w:val="20"/>
        </w:rPr>
        <w:t>signaling</w:t>
      </w:r>
      <w:r>
        <w:rPr>
          <w:rFonts w:hint="eastAsia"/>
          <w:sz w:val="20"/>
          <w:szCs w:val="20"/>
        </w:rPr>
        <w:t xml:space="preserve"> </w:t>
      </w:r>
      <w:r>
        <w:rPr>
          <w:sz w:val="20"/>
          <w:szCs w:val="20"/>
        </w:rPr>
        <w:t xml:space="preserve">is needed </w:t>
      </w:r>
      <w:r>
        <w:rPr>
          <w:rFonts w:hint="eastAsia"/>
          <w:sz w:val="20"/>
          <w:szCs w:val="20"/>
        </w:rPr>
        <w:t xml:space="preserve">to indicate whether a common WUS is configured. </w:t>
      </w:r>
      <w:r>
        <w:rPr>
          <w:sz w:val="20"/>
          <w:szCs w:val="20"/>
        </w:rPr>
        <w:t>U</w:t>
      </w:r>
      <w:r>
        <w:rPr>
          <w:rFonts w:hint="eastAsia"/>
          <w:sz w:val="20"/>
          <w:szCs w:val="20"/>
        </w:rPr>
        <w:t xml:space="preserve">p to 2 time-multiplexed WUS resources </w:t>
      </w:r>
      <w:r>
        <w:rPr>
          <w:sz w:val="20"/>
          <w:szCs w:val="20"/>
        </w:rPr>
        <w:t>could b</w:t>
      </w:r>
      <w:r>
        <w:rPr>
          <w:rFonts w:hint="eastAsia"/>
          <w:sz w:val="20"/>
          <w:szCs w:val="20"/>
        </w:rPr>
        <w:t>e configured for both legacy WUS and group WUS</w:t>
      </w:r>
      <w:r>
        <w:rPr>
          <w:sz w:val="20"/>
          <w:szCs w:val="20"/>
        </w:rPr>
        <w:t>. Moreover</w:t>
      </w:r>
      <w:r>
        <w:rPr>
          <w:rFonts w:hint="eastAsia"/>
          <w:sz w:val="20"/>
          <w:szCs w:val="20"/>
        </w:rPr>
        <w:t xml:space="preserve">, considering the agreement made by RAN1 that </w:t>
      </w:r>
      <w:r>
        <w:rPr>
          <w:rFonts w:eastAsia="宋体" w:hint="eastAsia"/>
          <w:sz w:val="20"/>
          <w:szCs w:val="20"/>
        </w:rPr>
        <w:t>i</w:t>
      </w:r>
      <w:r>
        <w:rPr>
          <w:rFonts w:hint="eastAsia"/>
          <w:sz w:val="20"/>
          <w:szCs w:val="20"/>
        </w:rPr>
        <w:t>f the group WUS resource is configured to be shared by Rel-15 WUS and Rel-16 WUS, the common WUS sequence for all the group WUS UEs in the same WUS resource can be configured to be the Rel-15 WUS sequence or a Rel-</w:t>
      </w:r>
      <w:r>
        <w:rPr>
          <w:rFonts w:hint="eastAsia"/>
          <w:sz w:val="20"/>
          <w:szCs w:val="20"/>
        </w:rPr>
        <w:lastRenderedPageBreak/>
        <w:t>16 WUS sequence</w:t>
      </w:r>
      <w:r w:rsidR="00B151A3">
        <w:rPr>
          <w:rFonts w:eastAsia="宋体" w:hint="eastAsia"/>
          <w:sz w:val="20"/>
          <w:szCs w:val="20"/>
        </w:rPr>
        <w:t>.</w:t>
      </w:r>
      <w:r w:rsidR="00B151A3">
        <w:rPr>
          <w:rFonts w:eastAsia="宋体"/>
          <w:sz w:val="20"/>
          <w:szCs w:val="20"/>
        </w:rPr>
        <w:t xml:space="preserve"> </w:t>
      </w:r>
      <w:r w:rsidR="00B151A3">
        <w:rPr>
          <w:rFonts w:eastAsia="宋体" w:hint="eastAsia"/>
          <w:sz w:val="20"/>
          <w:szCs w:val="20"/>
        </w:rPr>
        <w:t>Then</w:t>
      </w:r>
      <w:r w:rsidR="00B151A3">
        <w:rPr>
          <w:rFonts w:eastAsia="宋体"/>
          <w:sz w:val="20"/>
          <w:szCs w:val="20"/>
        </w:rPr>
        <w:t xml:space="preserve"> </w:t>
      </w:r>
      <w:r>
        <w:rPr>
          <w:rFonts w:hint="eastAsia"/>
          <w:sz w:val="20"/>
          <w:szCs w:val="20"/>
        </w:rPr>
        <w:t xml:space="preserve">a </w:t>
      </w:r>
      <w:r>
        <w:rPr>
          <w:sz w:val="20"/>
          <w:szCs w:val="20"/>
        </w:rPr>
        <w:t>signaling</w:t>
      </w:r>
      <w:r>
        <w:rPr>
          <w:rFonts w:hint="eastAsia"/>
          <w:sz w:val="20"/>
          <w:szCs w:val="20"/>
        </w:rPr>
        <w:t xml:space="preserve"> needs to be </w:t>
      </w:r>
      <w:r>
        <w:rPr>
          <w:sz w:val="20"/>
          <w:szCs w:val="20"/>
        </w:rPr>
        <w:t>used</w:t>
      </w:r>
      <w:r>
        <w:rPr>
          <w:rFonts w:hint="eastAsia"/>
          <w:sz w:val="20"/>
          <w:szCs w:val="20"/>
        </w:rPr>
        <w:t xml:space="preserve"> to indicate that a common WUS is configured to be legacy WUS or a non-legacy WUS. </w:t>
      </w:r>
    </w:p>
    <w:p w:rsidR="00FF75D5" w:rsidRDefault="00C62543">
      <w:pPr>
        <w:numPr>
          <w:ilvl w:val="255"/>
          <w:numId w:val="0"/>
        </w:numPr>
        <w:spacing w:before="120" w:after="60" w:line="300" w:lineRule="exact"/>
        <w:rPr>
          <w:sz w:val="20"/>
          <w:szCs w:val="20"/>
        </w:rPr>
      </w:pPr>
      <w:r>
        <w:rPr>
          <w:rFonts w:eastAsia="宋体"/>
          <w:b/>
          <w:sz w:val="20"/>
          <w:szCs w:val="20"/>
        </w:rPr>
        <w:t>Proposal</w:t>
      </w:r>
      <w:r>
        <w:rPr>
          <w:rFonts w:eastAsia="宋体" w:hint="eastAsia"/>
          <w:b/>
          <w:sz w:val="20"/>
          <w:szCs w:val="20"/>
        </w:rPr>
        <w:t xml:space="preserve"> 2: </w:t>
      </w:r>
      <w:r>
        <w:rPr>
          <w:rFonts w:eastAsia="宋体"/>
          <w:b/>
          <w:sz w:val="20"/>
          <w:szCs w:val="20"/>
        </w:rPr>
        <w:t xml:space="preserve">According RAN1 agreements, </w:t>
      </w:r>
      <w:r>
        <w:rPr>
          <w:rFonts w:eastAsia="宋体" w:hint="eastAsia"/>
          <w:b/>
          <w:sz w:val="20"/>
          <w:szCs w:val="20"/>
        </w:rPr>
        <w:t xml:space="preserve">RAN2 needs to </w:t>
      </w:r>
      <w:r>
        <w:rPr>
          <w:rFonts w:eastAsia="宋体"/>
          <w:b/>
          <w:sz w:val="20"/>
          <w:szCs w:val="20"/>
        </w:rPr>
        <w:t>provide</w:t>
      </w:r>
      <w:r>
        <w:rPr>
          <w:rFonts w:eastAsia="宋体" w:hint="eastAsia"/>
          <w:b/>
          <w:sz w:val="20"/>
          <w:szCs w:val="20"/>
        </w:rPr>
        <w:t xml:space="preserve"> </w:t>
      </w:r>
      <w:r>
        <w:rPr>
          <w:rFonts w:eastAsia="宋体"/>
          <w:b/>
          <w:sz w:val="20"/>
          <w:szCs w:val="20"/>
        </w:rPr>
        <w:t>configuration</w:t>
      </w:r>
      <w:r>
        <w:rPr>
          <w:rFonts w:eastAsia="宋体" w:hint="eastAsia"/>
          <w:b/>
          <w:sz w:val="20"/>
          <w:szCs w:val="20"/>
        </w:rPr>
        <w:t xml:space="preserve"> to indicate whether a common WUS is configured.</w:t>
      </w:r>
    </w:p>
    <w:p w:rsidR="00FF75D5" w:rsidRDefault="00C62543">
      <w:pPr>
        <w:numPr>
          <w:ilvl w:val="255"/>
          <w:numId w:val="0"/>
        </w:numPr>
        <w:spacing w:before="120" w:after="60" w:line="300" w:lineRule="exact"/>
        <w:rPr>
          <w:sz w:val="20"/>
          <w:szCs w:val="20"/>
        </w:rPr>
      </w:pPr>
      <w:r>
        <w:rPr>
          <w:rFonts w:eastAsia="宋体"/>
          <w:b/>
          <w:sz w:val="20"/>
          <w:szCs w:val="20"/>
        </w:rPr>
        <w:t>Proposal</w:t>
      </w:r>
      <w:r>
        <w:rPr>
          <w:rFonts w:eastAsia="宋体" w:hint="eastAsia"/>
          <w:b/>
          <w:sz w:val="20"/>
          <w:szCs w:val="20"/>
        </w:rPr>
        <w:t xml:space="preserve"> 3:</w:t>
      </w:r>
      <w:r>
        <w:rPr>
          <w:rFonts w:eastAsia="宋体"/>
          <w:b/>
          <w:sz w:val="20"/>
          <w:szCs w:val="20"/>
        </w:rPr>
        <w:t xml:space="preserve"> According RAN1 agreements, </w:t>
      </w:r>
      <w:r>
        <w:rPr>
          <w:rFonts w:eastAsia="宋体" w:hint="eastAsia"/>
          <w:b/>
          <w:sz w:val="20"/>
          <w:szCs w:val="20"/>
        </w:rPr>
        <w:t xml:space="preserve">RAN2 needs to </w:t>
      </w:r>
      <w:r>
        <w:rPr>
          <w:rFonts w:eastAsia="宋体"/>
          <w:b/>
          <w:sz w:val="20"/>
          <w:szCs w:val="20"/>
        </w:rPr>
        <w:t>provide</w:t>
      </w:r>
      <w:r>
        <w:rPr>
          <w:rFonts w:eastAsia="宋体" w:hint="eastAsia"/>
          <w:b/>
          <w:sz w:val="20"/>
          <w:szCs w:val="20"/>
        </w:rPr>
        <w:t xml:space="preserve"> </w:t>
      </w:r>
      <w:r>
        <w:rPr>
          <w:rFonts w:eastAsia="宋体"/>
          <w:b/>
          <w:sz w:val="20"/>
          <w:szCs w:val="20"/>
        </w:rPr>
        <w:t>configuration</w:t>
      </w:r>
      <w:r>
        <w:rPr>
          <w:rFonts w:eastAsia="宋体" w:hint="eastAsia"/>
          <w:b/>
          <w:sz w:val="20"/>
          <w:szCs w:val="20"/>
        </w:rPr>
        <w:t xml:space="preserve"> to indicate </w:t>
      </w:r>
      <w:r>
        <w:rPr>
          <w:rFonts w:eastAsia="宋体"/>
          <w:b/>
          <w:sz w:val="20"/>
          <w:szCs w:val="20"/>
        </w:rPr>
        <w:t>whether</w:t>
      </w:r>
      <w:r>
        <w:rPr>
          <w:rFonts w:eastAsia="宋体" w:hint="eastAsia"/>
          <w:b/>
          <w:sz w:val="20"/>
          <w:szCs w:val="20"/>
        </w:rPr>
        <w:t xml:space="preserve"> a common WUS is configured to be legacy WUS or a non-legacy WUS when the group WUS resource is configured to be shared by Rel-15 WUS and Rel-16 WUS.</w:t>
      </w:r>
    </w:p>
    <w:p w:rsidR="00FF75D5" w:rsidRDefault="00C62543">
      <w:pPr>
        <w:pStyle w:val="2"/>
        <w:spacing w:before="200"/>
      </w:pPr>
      <w:r>
        <w:rPr>
          <w:rFonts w:eastAsia="宋体" w:hint="eastAsia"/>
        </w:rPr>
        <w:t xml:space="preserve">2.2 </w:t>
      </w:r>
      <w:r>
        <w:t>The formula for further UE grouping for WUS</w:t>
      </w:r>
    </w:p>
    <w:p w:rsidR="00FF75D5" w:rsidRDefault="00C62543">
      <w:pPr>
        <w:pStyle w:val="a0"/>
        <w:spacing w:beforeLines="30" w:before="72" w:after="60" w:line="280" w:lineRule="exact"/>
        <w:rPr>
          <w:rFonts w:eastAsia="宋体"/>
          <w:bCs/>
          <w:color w:val="auto"/>
          <w:sz w:val="20"/>
        </w:rPr>
      </w:pPr>
      <w:r>
        <w:rPr>
          <w:rFonts w:eastAsia="宋体" w:hint="eastAsia"/>
          <w:bCs/>
          <w:color w:val="auto"/>
          <w:sz w:val="20"/>
        </w:rPr>
        <w:t>I</w:t>
      </w:r>
      <w:r>
        <w:rPr>
          <w:rFonts w:eastAsia="宋体"/>
          <w:bCs/>
          <w:color w:val="auto"/>
          <w:sz w:val="20"/>
        </w:rPr>
        <w:t>n this section, we will give our suggestion on how to define the UE_ID based sub-grouping formula. In [3], a simple formula has been given as following with the assumption there are X sub groups:</w:t>
      </w:r>
    </w:p>
    <w:p w:rsidR="00FF75D5" w:rsidRDefault="00C62543">
      <w:pPr>
        <w:pStyle w:val="a0"/>
        <w:spacing w:beforeLines="30" w:before="72" w:after="100" w:line="280" w:lineRule="exact"/>
        <w:jc w:val="center"/>
        <w:rPr>
          <w:rFonts w:eastAsia="宋体"/>
          <w:bCs/>
          <w:color w:val="auto"/>
          <w:sz w:val="20"/>
        </w:rPr>
      </w:pPr>
      <w:r>
        <w:rPr>
          <w:rFonts w:eastAsia="宋体"/>
          <w:bCs/>
          <w:color w:val="auto"/>
          <w:sz w:val="20"/>
        </w:rPr>
        <w:t>UE sub-group ID=floor (UE_ID/(N*Ns)) mod X</w:t>
      </w:r>
    </w:p>
    <w:p w:rsidR="00FF75D5" w:rsidRDefault="00C62543">
      <w:pPr>
        <w:pStyle w:val="a0"/>
        <w:spacing w:beforeLines="30" w:before="72" w:after="100" w:line="280" w:lineRule="exact"/>
        <w:rPr>
          <w:rFonts w:eastAsia="宋体"/>
          <w:bCs/>
          <w:color w:val="auto"/>
          <w:sz w:val="20"/>
        </w:rPr>
      </w:pPr>
      <w:r>
        <w:rPr>
          <w:rFonts w:eastAsia="宋体"/>
          <w:bCs/>
          <w:color w:val="auto"/>
          <w:sz w:val="20"/>
        </w:rPr>
        <w:t>Here UE_ID are the ID of the UEs which have performed paging narrowband/carriers, PF, PO selection and finally are related to a same PO. So it’s easy to observe that these UE_IDs are discretely distributed. If the UE grouping formula is based on only UE_ID, it may cause that the UEs monitoring the same PO unevenly distribute in each group and there may have the negative impact on the effect of UE grouping, e.g., the proportion of false awakening is still high in the group with many more UEs. Therefore, the further grouping algorithm cannot be based on only UE_ID and optimization is needed.</w:t>
      </w:r>
    </w:p>
    <w:p w:rsidR="00FF75D5" w:rsidRDefault="00C62543">
      <w:pPr>
        <w:pStyle w:val="a0"/>
        <w:spacing w:beforeLines="30" w:before="72" w:after="100" w:line="280" w:lineRule="exact"/>
        <w:rPr>
          <w:rFonts w:eastAsia="宋体"/>
          <w:bCs/>
          <w:color w:val="auto"/>
          <w:sz w:val="20"/>
        </w:rPr>
      </w:pPr>
      <w:r>
        <w:rPr>
          <w:rFonts w:eastAsia="宋体"/>
          <w:bCs/>
          <w:color w:val="auto"/>
          <w:sz w:val="20"/>
        </w:rPr>
        <w:t>We think the above formula is a good start point for further discussion. For the convenience of discussion later, we abstract this formula into the following form:</w:t>
      </w:r>
    </w:p>
    <w:p w:rsidR="00FF75D5" w:rsidRDefault="00C62543">
      <w:pPr>
        <w:pStyle w:val="a0"/>
        <w:spacing w:beforeLines="30" w:before="72" w:after="100" w:line="280" w:lineRule="exact"/>
        <w:jc w:val="center"/>
        <w:rPr>
          <w:rFonts w:eastAsia="宋体"/>
          <w:bCs/>
          <w:color w:val="auto"/>
          <w:sz w:val="20"/>
        </w:rPr>
      </w:pPr>
      <w:r>
        <w:rPr>
          <w:rFonts w:eastAsia="宋体"/>
          <w:bCs/>
          <w:color w:val="auto"/>
          <w:sz w:val="20"/>
        </w:rPr>
        <w:t>UE sub-group ID=floor (UE_ID/A) mod B,</w:t>
      </w:r>
    </w:p>
    <w:p w:rsidR="00FF75D5" w:rsidRDefault="00C62543">
      <w:pPr>
        <w:pStyle w:val="a0"/>
        <w:spacing w:beforeLines="30" w:before="72" w:after="100" w:line="280" w:lineRule="exact"/>
        <w:rPr>
          <w:rFonts w:eastAsia="宋体"/>
          <w:bCs/>
          <w:color w:val="auto"/>
          <w:sz w:val="20"/>
        </w:rPr>
      </w:pPr>
      <w:r>
        <w:rPr>
          <w:rFonts w:eastAsia="宋体"/>
          <w:bCs/>
          <w:color w:val="auto"/>
          <w:sz w:val="20"/>
        </w:rPr>
        <w:t>Here A is a factor to divide the target UE_IDs and B is the number of sub groups.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(UE_ID/(N*Ns)) would be even in some configuration. If the number of sub groups X is also even, e.g., 2, then the UE sub-group ID for all the target UEs would be same, that is 0.</w:t>
      </w:r>
    </w:p>
    <w:p w:rsidR="00FF75D5" w:rsidRDefault="00C62543">
      <w:pPr>
        <w:pStyle w:val="a0"/>
        <w:spacing w:beforeLines="30" w:before="72" w:after="100" w:line="280" w:lineRule="exact"/>
        <w:rPr>
          <w:rFonts w:eastAsia="宋体"/>
          <w:bCs/>
          <w:color w:val="auto"/>
          <w:sz w:val="20"/>
        </w:rPr>
      </w:pPr>
      <w:r>
        <w:rPr>
          <w:rFonts w:eastAsia="宋体"/>
          <w:bCs/>
          <w:color w:val="auto"/>
          <w:sz w:val="20"/>
        </w:rPr>
        <w:t>In [4], we do some detailed analysis on the distribution characteristics of the UE_IDs, for NB-IoT and eMTC separately. We understand distributing the UE_IDs to each PF and PO is a kind of evenly distribution. Then the main reason that cause discontinuous UE_ID distribution for a PO is distributing them into several paging narrowband/carriers. In NB-IoT such discontinuous UE_ID distribution may be more serious as the different weights are introduced for several paging carriers. Based on the analysis in [4], we give the following proposals:</w:t>
      </w:r>
    </w:p>
    <w:p w:rsidR="00FF75D5" w:rsidRDefault="00C62543">
      <w:pPr>
        <w:pStyle w:val="a0"/>
        <w:spacing w:beforeLines="30" w:before="72" w:after="100" w:line="280" w:lineRule="exact"/>
        <w:rPr>
          <w:rFonts w:eastAsia="宋体"/>
          <w:b/>
          <w:bCs/>
          <w:color w:val="auto"/>
          <w:sz w:val="20"/>
        </w:rPr>
      </w:pPr>
      <w:r>
        <w:rPr>
          <w:rFonts w:eastAsia="宋体"/>
          <w:b/>
          <w:bCs/>
          <w:color w:val="auto"/>
          <w:sz w:val="20"/>
        </w:rPr>
        <w:t xml:space="preserve">Proposal 4: It’s suggested to introduce the following UE_ID based grouping scheme: </w:t>
      </w:r>
    </w:p>
    <w:p w:rsidR="00FF75D5" w:rsidRDefault="00C62543">
      <w:pPr>
        <w:pStyle w:val="a0"/>
        <w:spacing w:after="100"/>
        <w:jc w:val="center"/>
        <w:rPr>
          <w:rFonts w:eastAsia="宋体"/>
          <w:b/>
          <w:bCs/>
          <w:color w:val="auto"/>
          <w:sz w:val="20"/>
        </w:rPr>
      </w:pPr>
      <w:r>
        <w:rPr>
          <w:rFonts w:eastAsia="宋体"/>
          <w:b/>
          <w:bCs/>
          <w:color w:val="auto"/>
          <w:sz w:val="20"/>
        </w:rPr>
        <w:t>UE sub-group ID=floor (UE_ID/A) mod B,</w:t>
      </w:r>
    </w:p>
    <w:p w:rsidR="00FF75D5" w:rsidRDefault="00C62543">
      <w:pPr>
        <w:pStyle w:val="a0"/>
        <w:spacing w:after="100"/>
        <w:ind w:firstLineChars="1850" w:firstLine="3714"/>
        <w:rPr>
          <w:rFonts w:eastAsia="宋体"/>
          <w:b/>
          <w:bCs/>
          <w:color w:val="auto"/>
          <w:sz w:val="20"/>
        </w:rPr>
      </w:pPr>
      <w:r>
        <w:rPr>
          <w:rFonts w:eastAsia="宋体"/>
          <w:b/>
          <w:bCs/>
          <w:color w:val="auto"/>
          <w:sz w:val="20"/>
        </w:rPr>
        <w:t>For eMTC: A= N*Ns*Nn</w:t>
      </w:r>
    </w:p>
    <w:p w:rsidR="00FF75D5" w:rsidRDefault="00C62543">
      <w:pPr>
        <w:pStyle w:val="a0"/>
        <w:spacing w:after="100"/>
        <w:ind w:firstLineChars="1850" w:firstLine="3714"/>
        <w:rPr>
          <w:rFonts w:eastAsia="宋体"/>
          <w:b/>
          <w:bCs/>
          <w:color w:val="auto"/>
          <w:sz w:val="20"/>
        </w:rPr>
      </w:pPr>
      <w:r>
        <w:rPr>
          <w:rFonts w:eastAsia="宋体"/>
          <w:b/>
          <w:bCs/>
          <w:color w:val="auto"/>
          <w:sz w:val="20"/>
        </w:rPr>
        <w:t>For NB-IoT: A= N*Ns*W</w:t>
      </w:r>
    </w:p>
    <w:p w:rsidR="00FF75D5" w:rsidRDefault="00C62543">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FF75D5" w:rsidRDefault="00C62543">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FF75D5" w:rsidRDefault="00C6254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FF75D5" w:rsidRDefault="00C62543">
      <w:pPr>
        <w:widowControl w:val="0"/>
        <w:spacing w:beforeLines="50" w:before="120" w:after="100"/>
        <w:ind w:firstLineChars="300" w:firstLine="602"/>
        <w:jc w:val="both"/>
        <w:rPr>
          <w:rFonts w:eastAsia="宋体"/>
          <w:b/>
          <w:sz w:val="20"/>
          <w:szCs w:val="20"/>
        </w:rPr>
      </w:pPr>
      <w:r>
        <w:rPr>
          <w:rFonts w:eastAsia="宋体"/>
          <w:b/>
          <w:iCs/>
          <w:kern w:val="2"/>
          <w:sz w:val="20"/>
          <w:szCs w:val="20"/>
        </w:rPr>
        <w:t>-  N: min(T,nB)</w:t>
      </w:r>
      <w:r>
        <w:rPr>
          <w:b/>
          <w:sz w:val="20"/>
          <w:szCs w:val="20"/>
        </w:rPr>
        <w:t xml:space="preserve"> </w:t>
      </w:r>
    </w:p>
    <w:p w:rsidR="00FF75D5" w:rsidRDefault="00C62543">
      <w:pPr>
        <w:widowControl w:val="0"/>
        <w:spacing w:beforeLines="50" w:before="120" w:after="100"/>
        <w:ind w:firstLineChars="300" w:firstLine="602"/>
        <w:jc w:val="both"/>
        <w:rPr>
          <w:rFonts w:eastAsia="宋体"/>
          <w:b/>
          <w:sz w:val="20"/>
          <w:szCs w:val="20"/>
        </w:rPr>
      </w:pPr>
      <w:r>
        <w:rPr>
          <w:rFonts w:eastAsia="宋体"/>
          <w:b/>
          <w:iCs/>
          <w:kern w:val="2"/>
          <w:sz w:val="20"/>
          <w:szCs w:val="20"/>
        </w:rPr>
        <w:t>-  Ns: max(1,nB/T)</w:t>
      </w:r>
      <w:r>
        <w:rPr>
          <w:b/>
          <w:sz w:val="20"/>
          <w:szCs w:val="20"/>
        </w:rPr>
        <w:t xml:space="preserve"> </w:t>
      </w:r>
    </w:p>
    <w:p w:rsidR="00FF75D5" w:rsidRDefault="00C62543">
      <w:pPr>
        <w:widowControl w:val="0"/>
        <w:spacing w:beforeLines="50" w:before="120" w:after="100"/>
        <w:ind w:firstLineChars="300" w:firstLine="602"/>
        <w:jc w:val="both"/>
        <w:rPr>
          <w:b/>
          <w:sz w:val="20"/>
          <w:szCs w:val="20"/>
        </w:rPr>
      </w:pPr>
      <w:r>
        <w:rPr>
          <w:rFonts w:eastAsia="宋体"/>
          <w:b/>
          <w:iCs/>
          <w:kern w:val="2"/>
          <w:sz w:val="20"/>
          <w:szCs w:val="20"/>
        </w:rPr>
        <w:lastRenderedPageBreak/>
        <w:t xml:space="preserve">-  </w:t>
      </w:r>
      <w:r>
        <w:rPr>
          <w:b/>
          <w:sz w:val="20"/>
          <w:szCs w:val="20"/>
        </w:rPr>
        <w:t>Nn: the number of paging narrowbands (for P-RNTI monitored on MPDCCH) provided in SIB</w:t>
      </w:r>
    </w:p>
    <w:p w:rsidR="00FF75D5" w:rsidRDefault="00C62543">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W: total weight of all NB-IoT paging carriers</w:t>
      </w:r>
    </w:p>
    <w:p w:rsidR="00FF75D5" w:rsidRDefault="00C62543">
      <w:pPr>
        <w:pStyle w:val="a0"/>
        <w:spacing w:beforeLines="30" w:before="72" w:after="100" w:line="280" w:lineRule="exact"/>
        <w:rPr>
          <w:rFonts w:eastAsia="宋体"/>
          <w:bCs/>
          <w:color w:val="auto"/>
          <w:sz w:val="20"/>
        </w:rPr>
      </w:pPr>
      <w:r>
        <w:rPr>
          <w:rFonts w:eastAsia="宋体"/>
          <w:bCs/>
          <w:color w:val="auto"/>
          <w:sz w:val="20"/>
        </w:rPr>
        <w:t xml:space="preserve">No matter B is configured per PO or per gap type, if we have no change to the proposed formula, the UE reception would same, e.g., the UE would determine the PO and sub-group ID, and then calculate the start time for receiving this sub-group WUS according to gap type.  </w:t>
      </w:r>
    </w:p>
    <w:p w:rsidR="00FF75D5" w:rsidRDefault="00C62543">
      <w:pPr>
        <w:pStyle w:val="2"/>
        <w:spacing w:before="200"/>
        <w:rPr>
          <w:rFonts w:eastAsia="宋体"/>
        </w:rPr>
      </w:pPr>
      <w:r>
        <w:rPr>
          <w:rFonts w:eastAsia="宋体"/>
        </w:rPr>
        <w:t xml:space="preserve">2.3 UE </w:t>
      </w:r>
      <w:r>
        <w:rPr>
          <w:rFonts w:eastAsia="宋体" w:hint="eastAsia"/>
        </w:rPr>
        <w:t>capability</w:t>
      </w:r>
    </w:p>
    <w:p w:rsidR="00FF75D5" w:rsidRDefault="00C62543">
      <w:pPr>
        <w:pStyle w:val="a0"/>
        <w:spacing w:beforeLines="30" w:before="72" w:after="100" w:line="280" w:lineRule="exact"/>
        <w:rPr>
          <w:rFonts w:eastAsia="宋体"/>
          <w:bCs/>
          <w:color w:val="auto"/>
          <w:sz w:val="20"/>
        </w:rPr>
      </w:pPr>
      <w:r>
        <w:rPr>
          <w:rFonts w:eastAsia="宋体" w:hint="eastAsia"/>
          <w:bCs/>
          <w:color w:val="auto"/>
          <w:sz w:val="20"/>
        </w:rPr>
        <w:t>It</w:t>
      </w:r>
      <w:r>
        <w:rPr>
          <w:rFonts w:eastAsia="宋体"/>
          <w:bCs/>
          <w:color w:val="auto"/>
          <w:sz w:val="20"/>
        </w:rPr>
        <w:t xml:space="preserve"> </w:t>
      </w:r>
      <w:r>
        <w:rPr>
          <w:rFonts w:eastAsia="宋体" w:hint="eastAsia"/>
          <w:bCs/>
          <w:color w:val="auto"/>
          <w:sz w:val="20"/>
        </w:rPr>
        <w:t>has</w:t>
      </w:r>
      <w:r>
        <w:rPr>
          <w:rFonts w:eastAsia="宋体"/>
          <w:bCs/>
          <w:color w:val="auto"/>
          <w:sz w:val="20"/>
        </w:rPr>
        <w:t xml:space="preserve"> </w:t>
      </w:r>
      <w:r>
        <w:rPr>
          <w:rFonts w:eastAsia="宋体" w:hint="eastAsia"/>
          <w:bCs/>
          <w:color w:val="auto"/>
          <w:sz w:val="20"/>
        </w:rPr>
        <w:t>been</w:t>
      </w:r>
      <w:r>
        <w:rPr>
          <w:rFonts w:eastAsia="宋体"/>
          <w:bCs/>
          <w:color w:val="auto"/>
          <w:sz w:val="20"/>
        </w:rPr>
        <w:t xml:space="preserve"> </w:t>
      </w:r>
      <w:r>
        <w:rPr>
          <w:rFonts w:eastAsia="宋体" w:hint="eastAsia"/>
          <w:bCs/>
          <w:color w:val="auto"/>
          <w:sz w:val="20"/>
        </w:rPr>
        <w:t>agreed in RAN1</w:t>
      </w:r>
      <w:r>
        <w:rPr>
          <w:rFonts w:eastAsia="宋体"/>
          <w:bCs/>
          <w:color w:val="auto"/>
          <w:sz w:val="20"/>
        </w:rPr>
        <w:t xml:space="preserve"> </w:t>
      </w:r>
      <w:r>
        <w:rPr>
          <w:rFonts w:eastAsia="宋体" w:hint="eastAsia"/>
          <w:bCs/>
          <w:color w:val="auto"/>
          <w:sz w:val="20"/>
        </w:rPr>
        <w:t xml:space="preserve">that </w:t>
      </w:r>
      <w:r>
        <w:rPr>
          <w:rFonts w:eastAsia="宋体"/>
          <w:bCs/>
          <w:color w:val="auto"/>
          <w:sz w:val="20"/>
        </w:rPr>
        <w:t>the UE-group</w:t>
      </w:r>
      <w:r>
        <w:rPr>
          <w:rFonts w:eastAsia="宋体" w:hint="eastAsia"/>
          <w:bCs/>
          <w:color w:val="auto"/>
          <w:sz w:val="20"/>
        </w:rPr>
        <w:t xml:space="preserve"> </w:t>
      </w:r>
      <w:r>
        <w:rPr>
          <w:rFonts w:eastAsia="宋体"/>
          <w:bCs/>
          <w:color w:val="auto"/>
          <w:sz w:val="20"/>
        </w:rPr>
        <w:t>WUS is optional</w:t>
      </w:r>
      <w:r>
        <w:rPr>
          <w:rFonts w:eastAsia="宋体" w:hint="eastAsia"/>
          <w:bCs/>
          <w:color w:val="auto"/>
          <w:sz w:val="20"/>
        </w:rPr>
        <w:t>.</w:t>
      </w:r>
      <w:r>
        <w:rPr>
          <w:rFonts w:eastAsia="宋体"/>
          <w:bCs/>
          <w:color w:val="auto"/>
          <w:sz w:val="20"/>
        </w:rPr>
        <w:t xml:space="preserve"> Considering that </w:t>
      </w:r>
      <w:r>
        <w:rPr>
          <w:rFonts w:eastAsia="宋体" w:hint="eastAsia"/>
          <w:bCs/>
          <w:color w:val="auto"/>
          <w:sz w:val="20"/>
        </w:rPr>
        <w:t>the eNB needs to know whether the UE supports UE-group WUS</w:t>
      </w:r>
      <w:r>
        <w:rPr>
          <w:rFonts w:eastAsia="宋体"/>
          <w:bCs/>
          <w:color w:val="auto"/>
          <w:sz w:val="20"/>
        </w:rPr>
        <w:t xml:space="preserve"> before it transmits WUS signal for paging, the UE should report its </w:t>
      </w:r>
      <w:r>
        <w:rPr>
          <w:rFonts w:eastAsia="宋体" w:hint="eastAsia"/>
          <w:bCs/>
          <w:color w:val="auto"/>
          <w:sz w:val="20"/>
        </w:rPr>
        <w:t xml:space="preserve">related </w:t>
      </w:r>
      <w:r>
        <w:rPr>
          <w:rFonts w:eastAsia="宋体"/>
          <w:bCs/>
          <w:color w:val="auto"/>
          <w:sz w:val="20"/>
        </w:rPr>
        <w:t>capability</w:t>
      </w:r>
      <w:r>
        <w:rPr>
          <w:rFonts w:eastAsia="宋体" w:hint="eastAsia"/>
          <w:bCs/>
          <w:color w:val="auto"/>
          <w:sz w:val="20"/>
        </w:rPr>
        <w:t xml:space="preserve"> </w:t>
      </w:r>
      <w:r>
        <w:rPr>
          <w:rFonts w:eastAsia="宋体"/>
          <w:bCs/>
          <w:color w:val="auto"/>
          <w:sz w:val="20"/>
        </w:rPr>
        <w:t xml:space="preserve">in connected mode. Generally, the capability </w:t>
      </w:r>
      <w:r>
        <w:rPr>
          <w:rFonts w:eastAsia="宋体" w:hint="eastAsia"/>
          <w:bCs/>
          <w:color w:val="auto"/>
          <w:sz w:val="20"/>
        </w:rPr>
        <w:t>should be</w:t>
      </w:r>
      <w:r>
        <w:rPr>
          <w:rFonts w:eastAsia="宋体"/>
          <w:bCs/>
          <w:color w:val="auto"/>
          <w:sz w:val="20"/>
        </w:rPr>
        <w:t xml:space="preserve"> reported by </w:t>
      </w:r>
      <w:r>
        <w:rPr>
          <w:rFonts w:eastAsia="宋体"/>
          <w:bCs/>
          <w:i/>
          <w:color w:val="auto"/>
          <w:sz w:val="20"/>
        </w:rPr>
        <w:t>UECapabilityInformation</w:t>
      </w:r>
      <w:r>
        <w:rPr>
          <w:rFonts w:eastAsia="宋体"/>
          <w:bCs/>
          <w:color w:val="auto"/>
          <w:sz w:val="20"/>
        </w:rPr>
        <w:t xml:space="preserve"> message. eNB can obtain the capability by S1 </w:t>
      </w:r>
      <w:r>
        <w:rPr>
          <w:rFonts w:eastAsia="宋体" w:hint="eastAsia"/>
          <w:bCs/>
          <w:color w:val="auto"/>
          <w:sz w:val="20"/>
        </w:rPr>
        <w:t xml:space="preserve">paging message </w:t>
      </w:r>
      <w:r>
        <w:rPr>
          <w:rFonts w:eastAsia="宋体"/>
          <w:bCs/>
          <w:color w:val="auto"/>
          <w:sz w:val="20"/>
        </w:rPr>
        <w:t>from</w:t>
      </w:r>
      <w:r>
        <w:rPr>
          <w:rFonts w:eastAsia="宋体" w:hint="eastAsia"/>
          <w:bCs/>
          <w:color w:val="auto"/>
          <w:sz w:val="20"/>
        </w:rPr>
        <w:t xml:space="preserve"> MME</w:t>
      </w:r>
      <w:r>
        <w:rPr>
          <w:rFonts w:eastAsia="宋体"/>
          <w:bCs/>
          <w:color w:val="auto"/>
          <w:sz w:val="20"/>
        </w:rPr>
        <w:t>.</w:t>
      </w:r>
    </w:p>
    <w:p w:rsidR="00FF75D5" w:rsidRDefault="00C62543">
      <w:pPr>
        <w:pStyle w:val="a0"/>
        <w:spacing w:beforeLines="30" w:before="72" w:after="100" w:line="280" w:lineRule="exact"/>
        <w:rPr>
          <w:rFonts w:eastAsia="宋体"/>
          <w:b/>
          <w:bCs/>
          <w:color w:val="auto"/>
          <w:sz w:val="20"/>
        </w:rPr>
      </w:pPr>
      <w:r>
        <w:rPr>
          <w:rFonts w:eastAsia="宋体"/>
          <w:b/>
          <w:bCs/>
          <w:color w:val="auto"/>
          <w:sz w:val="20"/>
        </w:rPr>
        <w:t>Proposal 5: It’s suggested to define UE capability</w:t>
      </w:r>
      <w:r>
        <w:rPr>
          <w:rFonts w:eastAsia="宋体" w:hint="eastAsia"/>
          <w:b/>
          <w:bCs/>
          <w:color w:val="auto"/>
          <w:sz w:val="20"/>
        </w:rPr>
        <w:t xml:space="preserve"> </w:t>
      </w:r>
      <w:r>
        <w:rPr>
          <w:rFonts w:eastAsia="宋体"/>
          <w:b/>
          <w:bCs/>
          <w:color w:val="auto"/>
          <w:sz w:val="20"/>
        </w:rPr>
        <w:t>of</w:t>
      </w:r>
      <w:r>
        <w:rPr>
          <w:rFonts w:eastAsia="宋体" w:hint="eastAsia"/>
          <w:b/>
          <w:bCs/>
          <w:color w:val="auto"/>
          <w:sz w:val="20"/>
        </w:rPr>
        <w:t xml:space="preserve"> </w:t>
      </w:r>
      <w:r>
        <w:rPr>
          <w:rFonts w:eastAsia="宋体"/>
          <w:b/>
          <w:bCs/>
          <w:color w:val="auto"/>
          <w:sz w:val="20"/>
        </w:rPr>
        <w:t xml:space="preserve">supporting UE-group WUS in </w:t>
      </w:r>
      <w:r>
        <w:rPr>
          <w:rFonts w:eastAsia="宋体"/>
          <w:b/>
          <w:bCs/>
          <w:i/>
          <w:color w:val="auto"/>
          <w:sz w:val="20"/>
        </w:rPr>
        <w:t xml:space="preserve">UECapabilityInformation </w:t>
      </w:r>
      <w:r>
        <w:rPr>
          <w:rFonts w:eastAsia="宋体"/>
          <w:b/>
          <w:bCs/>
          <w:color w:val="auto"/>
          <w:sz w:val="20"/>
        </w:rPr>
        <w:t>message.</w:t>
      </w:r>
    </w:p>
    <w:p w:rsidR="00FF75D5" w:rsidRDefault="00FF75D5"/>
    <w:p w:rsidR="00FF75D5" w:rsidRDefault="00C62543">
      <w:pPr>
        <w:pStyle w:val="1"/>
        <w:spacing w:before="120" w:after="120" w:line="360" w:lineRule="auto"/>
        <w:ind w:left="431" w:hanging="431"/>
        <w:rPr>
          <w:lang w:val="en-US"/>
        </w:rPr>
      </w:pPr>
      <w:r>
        <w:rPr>
          <w:lang w:val="en-US"/>
        </w:rPr>
        <w:t>Conclusions</w:t>
      </w:r>
    </w:p>
    <w:p w:rsidR="00FF75D5" w:rsidRDefault="00C62543">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FF75D5" w:rsidRDefault="00C62543">
      <w:pPr>
        <w:jc w:val="both"/>
        <w:rPr>
          <w:rFonts w:eastAsia="宋体"/>
          <w:b/>
          <w:sz w:val="21"/>
          <w:szCs w:val="21"/>
        </w:rPr>
      </w:pPr>
      <w:r>
        <w:rPr>
          <w:rFonts w:eastAsia="宋体"/>
          <w:b/>
          <w:sz w:val="21"/>
          <w:szCs w:val="21"/>
        </w:rPr>
        <w:t>Proposal 1: According RAN1 agreements, RAN2 needs to provide both common configuration of number of WUS groups for all gap types and separate configuration of number of WUS groups for separate gap types.</w:t>
      </w:r>
    </w:p>
    <w:p w:rsidR="00FF75D5" w:rsidRDefault="00C62543">
      <w:pPr>
        <w:jc w:val="both"/>
        <w:rPr>
          <w:rFonts w:eastAsia="宋体"/>
          <w:b/>
          <w:sz w:val="21"/>
          <w:szCs w:val="21"/>
        </w:rPr>
      </w:pPr>
      <w:r>
        <w:rPr>
          <w:rFonts w:eastAsia="宋体"/>
          <w:b/>
          <w:sz w:val="21"/>
          <w:szCs w:val="21"/>
        </w:rPr>
        <w:t>Proposal 2: According RAN1 agreements, RAN2 needs to provide configuration to indicate whether a common WUS is configured.</w:t>
      </w:r>
    </w:p>
    <w:p w:rsidR="00FF75D5" w:rsidRDefault="00C62543">
      <w:pPr>
        <w:jc w:val="both"/>
        <w:rPr>
          <w:sz w:val="20"/>
          <w:szCs w:val="20"/>
        </w:rPr>
      </w:pPr>
      <w:r>
        <w:rPr>
          <w:rFonts w:eastAsia="宋体"/>
          <w:b/>
          <w:sz w:val="21"/>
          <w:szCs w:val="21"/>
        </w:rPr>
        <w:t>Proposal 3: According RAN1 agreements, RAN2 needs to provide configuration to indicate whether a common WUS is configured to be legacy WUS or a non-legacy WUS when the group WUS resource is configured to be shared by Rel-15 WUS and Rel-16 WUS.</w:t>
      </w:r>
    </w:p>
    <w:p w:rsidR="00FF75D5" w:rsidRDefault="00C62543">
      <w:pPr>
        <w:pStyle w:val="a0"/>
        <w:spacing w:beforeLines="30" w:before="72" w:after="100" w:line="280" w:lineRule="exact"/>
        <w:rPr>
          <w:rFonts w:eastAsia="宋体"/>
          <w:b/>
          <w:bCs/>
          <w:color w:val="auto"/>
          <w:szCs w:val="21"/>
        </w:rPr>
      </w:pPr>
      <w:r>
        <w:rPr>
          <w:rFonts w:eastAsia="宋体"/>
          <w:b/>
          <w:bCs/>
          <w:color w:val="auto"/>
          <w:szCs w:val="21"/>
        </w:rPr>
        <w:t xml:space="preserve">Proposal 4: It’s suggested to introduce the following UE_ID based grouping scheme: </w:t>
      </w:r>
    </w:p>
    <w:p w:rsidR="00FF75D5" w:rsidRDefault="00C62543">
      <w:pPr>
        <w:pStyle w:val="a0"/>
        <w:spacing w:after="100"/>
        <w:jc w:val="center"/>
        <w:rPr>
          <w:rFonts w:eastAsia="宋体"/>
          <w:b/>
          <w:bCs/>
          <w:color w:val="auto"/>
          <w:szCs w:val="21"/>
        </w:rPr>
      </w:pPr>
      <w:r>
        <w:rPr>
          <w:rFonts w:eastAsia="宋体"/>
          <w:b/>
          <w:bCs/>
          <w:color w:val="auto"/>
          <w:szCs w:val="21"/>
        </w:rPr>
        <w:t>UE sub-group ID=floor (UE_ID/A) mod B,</w:t>
      </w:r>
    </w:p>
    <w:p w:rsidR="00FF75D5" w:rsidRDefault="00C62543">
      <w:pPr>
        <w:pStyle w:val="a0"/>
        <w:spacing w:after="100"/>
        <w:ind w:firstLineChars="1850" w:firstLine="3900"/>
        <w:rPr>
          <w:rFonts w:eastAsia="宋体"/>
          <w:b/>
          <w:bCs/>
          <w:color w:val="auto"/>
          <w:szCs w:val="21"/>
        </w:rPr>
      </w:pPr>
      <w:r>
        <w:rPr>
          <w:rFonts w:eastAsia="宋体"/>
          <w:b/>
          <w:bCs/>
          <w:color w:val="auto"/>
          <w:szCs w:val="21"/>
        </w:rPr>
        <w:t>For eMTC: A= N*Ns*Nn</w:t>
      </w:r>
    </w:p>
    <w:p w:rsidR="00FF75D5" w:rsidRDefault="00C62543">
      <w:pPr>
        <w:pStyle w:val="a0"/>
        <w:spacing w:after="100"/>
        <w:ind w:firstLineChars="1850" w:firstLine="3900"/>
        <w:rPr>
          <w:rFonts w:eastAsia="宋体"/>
          <w:b/>
          <w:bCs/>
          <w:color w:val="auto"/>
          <w:szCs w:val="21"/>
        </w:rPr>
      </w:pPr>
      <w:r>
        <w:rPr>
          <w:rFonts w:eastAsia="宋体"/>
          <w:b/>
          <w:bCs/>
          <w:color w:val="auto"/>
          <w:szCs w:val="21"/>
        </w:rPr>
        <w:t>For NB-IoT: A= N*Ns*W</w:t>
      </w:r>
    </w:p>
    <w:p w:rsidR="00FF75D5" w:rsidRDefault="00C62543">
      <w:pPr>
        <w:widowControl w:val="0"/>
        <w:spacing w:beforeLines="50" w:before="120" w:after="100"/>
        <w:ind w:firstLineChars="200" w:firstLine="422"/>
        <w:jc w:val="both"/>
        <w:rPr>
          <w:rFonts w:eastAsia="宋体"/>
          <w:b/>
          <w:bCs/>
          <w:sz w:val="21"/>
          <w:szCs w:val="21"/>
        </w:rPr>
      </w:pPr>
      <w:r>
        <w:rPr>
          <w:rFonts w:eastAsia="宋体"/>
          <w:b/>
          <w:bCs/>
          <w:sz w:val="21"/>
          <w:szCs w:val="21"/>
        </w:rPr>
        <w:t xml:space="preserve">Where:  </w:t>
      </w:r>
    </w:p>
    <w:p w:rsidR="00FF75D5" w:rsidRDefault="00C62543">
      <w:pPr>
        <w:widowControl w:val="0"/>
        <w:spacing w:beforeLines="50" w:before="120" w:after="100"/>
        <w:ind w:firstLineChars="300" w:firstLine="663"/>
        <w:jc w:val="both"/>
        <w:rPr>
          <w:rFonts w:eastAsia="宋体"/>
          <w:b/>
        </w:rPr>
      </w:pPr>
      <w:r>
        <w:rPr>
          <w:rFonts w:eastAsia="宋体"/>
          <w:b/>
          <w:iCs/>
          <w:kern w:val="2"/>
        </w:rPr>
        <w:t>-  UE_ID</w:t>
      </w:r>
      <w:r>
        <w:rPr>
          <w:b/>
        </w:rPr>
        <w:t xml:space="preserve">: IMSI mod 16384 </w:t>
      </w:r>
    </w:p>
    <w:p w:rsidR="00FF75D5" w:rsidRDefault="00C62543">
      <w:pPr>
        <w:widowControl w:val="0"/>
        <w:spacing w:beforeLines="50" w:before="120" w:after="100"/>
        <w:ind w:firstLineChars="300" w:firstLine="663"/>
        <w:jc w:val="both"/>
        <w:rPr>
          <w:rFonts w:eastAsia="宋体"/>
          <w:b/>
        </w:rPr>
      </w:pPr>
      <w:r>
        <w:rPr>
          <w:rFonts w:eastAsia="宋体"/>
          <w:b/>
          <w:iCs/>
          <w:kern w:val="2"/>
        </w:rPr>
        <w:t xml:space="preserve">-  </w:t>
      </w:r>
      <w:r>
        <w:rPr>
          <w:b/>
        </w:rPr>
        <w:t xml:space="preserve">B: the number of WUS group </w:t>
      </w:r>
    </w:p>
    <w:p w:rsidR="00FF75D5" w:rsidRDefault="00C62543">
      <w:pPr>
        <w:widowControl w:val="0"/>
        <w:spacing w:beforeLines="50" w:before="120" w:after="100"/>
        <w:ind w:firstLineChars="300" w:firstLine="663"/>
        <w:jc w:val="both"/>
        <w:rPr>
          <w:rFonts w:eastAsia="宋体"/>
          <w:b/>
        </w:rPr>
      </w:pPr>
      <w:r>
        <w:rPr>
          <w:rFonts w:eastAsia="宋体"/>
          <w:b/>
          <w:iCs/>
          <w:kern w:val="2"/>
        </w:rPr>
        <w:t>-  N: min(T,nB)</w:t>
      </w:r>
      <w:r>
        <w:rPr>
          <w:b/>
        </w:rPr>
        <w:t xml:space="preserve"> </w:t>
      </w:r>
    </w:p>
    <w:p w:rsidR="00FF75D5" w:rsidRDefault="00C62543">
      <w:pPr>
        <w:widowControl w:val="0"/>
        <w:spacing w:beforeLines="50" w:before="120" w:after="100"/>
        <w:ind w:firstLineChars="300" w:firstLine="663"/>
        <w:jc w:val="both"/>
        <w:rPr>
          <w:rFonts w:eastAsia="宋体"/>
          <w:b/>
        </w:rPr>
      </w:pPr>
      <w:r>
        <w:rPr>
          <w:rFonts w:eastAsia="宋体"/>
          <w:b/>
          <w:iCs/>
          <w:kern w:val="2"/>
        </w:rPr>
        <w:t>-  Ns: max(1,nB/T)</w:t>
      </w:r>
      <w:r>
        <w:rPr>
          <w:b/>
        </w:rPr>
        <w:t xml:space="preserve"> </w:t>
      </w:r>
    </w:p>
    <w:p w:rsidR="00FF75D5" w:rsidRDefault="00C62543">
      <w:pPr>
        <w:widowControl w:val="0"/>
        <w:spacing w:beforeLines="50" w:before="120" w:after="100"/>
        <w:ind w:firstLineChars="300" w:firstLine="663"/>
        <w:jc w:val="both"/>
        <w:rPr>
          <w:rFonts w:eastAsia="宋体"/>
          <w:b/>
        </w:rPr>
      </w:pPr>
      <w:r>
        <w:rPr>
          <w:rFonts w:eastAsia="宋体"/>
          <w:b/>
          <w:iCs/>
          <w:kern w:val="2"/>
        </w:rPr>
        <w:t xml:space="preserve">-  </w:t>
      </w:r>
      <w:r>
        <w:rPr>
          <w:b/>
        </w:rPr>
        <w:t>Nn: the number of paging narrowbands (for P-RNTI monitored on MPDCCH) provided in SIB</w:t>
      </w:r>
    </w:p>
    <w:p w:rsidR="00FF75D5" w:rsidRDefault="00C62543">
      <w:pPr>
        <w:widowControl w:val="0"/>
        <w:spacing w:beforeLines="50" w:before="120" w:after="100"/>
        <w:ind w:firstLineChars="300" w:firstLine="632"/>
        <w:jc w:val="both"/>
        <w:rPr>
          <w:rFonts w:eastAsia="宋体"/>
          <w:b/>
        </w:rPr>
      </w:pPr>
      <w:r>
        <w:rPr>
          <w:rFonts w:eastAsia="宋体"/>
          <w:b/>
          <w:sz w:val="21"/>
          <w:szCs w:val="21"/>
        </w:rPr>
        <w:t>-  W: total weight of all NB-IoT paging carriers</w:t>
      </w:r>
    </w:p>
    <w:p w:rsidR="00FF75D5" w:rsidRDefault="00C62543">
      <w:pPr>
        <w:pStyle w:val="a0"/>
        <w:spacing w:beforeLines="70" w:before="168" w:after="100" w:line="280" w:lineRule="exact"/>
        <w:rPr>
          <w:rFonts w:eastAsia="宋体"/>
          <w:b/>
          <w:bCs/>
          <w:color w:val="auto"/>
          <w:sz w:val="20"/>
        </w:rPr>
      </w:pPr>
      <w:r>
        <w:rPr>
          <w:rFonts w:eastAsia="宋体"/>
          <w:b/>
          <w:bCs/>
          <w:color w:val="auto"/>
          <w:sz w:val="20"/>
        </w:rPr>
        <w:t>Proposal 5: It’s suggested to define UE capability</w:t>
      </w:r>
      <w:r>
        <w:rPr>
          <w:rFonts w:eastAsia="宋体" w:hint="eastAsia"/>
          <w:b/>
          <w:bCs/>
          <w:color w:val="auto"/>
          <w:sz w:val="20"/>
        </w:rPr>
        <w:t xml:space="preserve"> </w:t>
      </w:r>
      <w:r>
        <w:rPr>
          <w:rFonts w:eastAsia="宋体"/>
          <w:b/>
          <w:bCs/>
          <w:color w:val="auto"/>
          <w:sz w:val="20"/>
        </w:rPr>
        <w:t>of</w:t>
      </w:r>
      <w:r>
        <w:rPr>
          <w:rFonts w:eastAsia="宋体" w:hint="eastAsia"/>
          <w:b/>
          <w:bCs/>
          <w:color w:val="auto"/>
          <w:sz w:val="20"/>
        </w:rPr>
        <w:t xml:space="preserve"> </w:t>
      </w:r>
      <w:r>
        <w:rPr>
          <w:rFonts w:eastAsia="宋体"/>
          <w:b/>
          <w:bCs/>
          <w:color w:val="auto"/>
          <w:sz w:val="20"/>
        </w:rPr>
        <w:t xml:space="preserve">supporting UE-group WUS in </w:t>
      </w:r>
      <w:r>
        <w:rPr>
          <w:rFonts w:eastAsia="宋体"/>
          <w:b/>
          <w:bCs/>
          <w:i/>
          <w:color w:val="auto"/>
          <w:sz w:val="20"/>
        </w:rPr>
        <w:t xml:space="preserve">UECapabilityInformation </w:t>
      </w:r>
      <w:r>
        <w:rPr>
          <w:rFonts w:eastAsia="宋体"/>
          <w:b/>
          <w:bCs/>
          <w:color w:val="auto"/>
          <w:sz w:val="20"/>
        </w:rPr>
        <w:t>message.</w:t>
      </w:r>
    </w:p>
    <w:p w:rsidR="00FF75D5" w:rsidRDefault="00FF75D5">
      <w:pPr>
        <w:jc w:val="both"/>
        <w:rPr>
          <w:sz w:val="20"/>
          <w:szCs w:val="20"/>
        </w:rPr>
      </w:pPr>
    </w:p>
    <w:p w:rsidR="00FF75D5" w:rsidRDefault="00C62543">
      <w:pPr>
        <w:pStyle w:val="1"/>
        <w:numPr>
          <w:ilvl w:val="0"/>
          <w:numId w:val="0"/>
        </w:numPr>
        <w:spacing w:before="120" w:after="120"/>
        <w:rPr>
          <w:lang w:val="en-US"/>
        </w:rPr>
      </w:pPr>
      <w:bookmarkStart w:id="14" w:name="OLE_LINK10"/>
      <w:bookmarkStart w:id="15" w:name="OLE_LINK11"/>
      <w:bookmarkEnd w:id="11"/>
      <w:r>
        <w:rPr>
          <w:lang w:val="en-US"/>
        </w:rPr>
        <w:t>References</w:t>
      </w:r>
    </w:p>
    <w:p w:rsidR="00FF75D5" w:rsidRDefault="00C62543">
      <w:pPr>
        <w:numPr>
          <w:ilvl w:val="0"/>
          <w:numId w:val="8"/>
        </w:numPr>
        <w:spacing w:beforeLines="10" w:before="24" w:afterLines="10" w:after="24" w:line="264" w:lineRule="auto"/>
        <w:rPr>
          <w:sz w:val="20"/>
          <w:szCs w:val="20"/>
        </w:rPr>
      </w:pPr>
      <w:bookmarkStart w:id="16" w:name="OLE_LINK2"/>
      <w:bookmarkEnd w:id="14"/>
      <w:bookmarkEnd w:id="15"/>
      <w:r>
        <w:rPr>
          <w:sz w:val="20"/>
          <w:szCs w:val="20"/>
        </w:rPr>
        <w:t>3GPP, RP-190757, WID revision: Additional enhancements for NB-IoT, RAN#83, March 2019</w:t>
      </w:r>
    </w:p>
    <w:p w:rsidR="00FF75D5" w:rsidRDefault="00C62543">
      <w:pPr>
        <w:numPr>
          <w:ilvl w:val="0"/>
          <w:numId w:val="8"/>
        </w:numPr>
        <w:spacing w:beforeLines="10" w:before="24" w:afterLines="10" w:after="24" w:line="264" w:lineRule="auto"/>
        <w:rPr>
          <w:sz w:val="20"/>
          <w:szCs w:val="20"/>
        </w:rPr>
      </w:pPr>
      <w:r>
        <w:rPr>
          <w:sz w:val="20"/>
          <w:szCs w:val="20"/>
        </w:rPr>
        <w:t>3GPP, RP-190770, Revised WID: Additional MTC enhancements for LTE, RAN#83, March 2019</w:t>
      </w:r>
      <w:bookmarkEnd w:id="16"/>
    </w:p>
    <w:p w:rsidR="00FF75D5" w:rsidRDefault="00C62543">
      <w:pPr>
        <w:numPr>
          <w:ilvl w:val="0"/>
          <w:numId w:val="8"/>
        </w:numPr>
        <w:spacing w:beforeLines="10" w:before="24" w:afterLines="10" w:after="24" w:line="264" w:lineRule="auto"/>
        <w:rPr>
          <w:sz w:val="20"/>
          <w:szCs w:val="20"/>
        </w:rPr>
      </w:pPr>
      <w:r>
        <w:rPr>
          <w:sz w:val="20"/>
          <w:szCs w:val="20"/>
        </w:rPr>
        <w:t>3GPP, R2-1813915, UE-Group based Wake-up signal, Huawei, HiSilicon, RAN2 #103bis, October 2018</w:t>
      </w:r>
    </w:p>
    <w:p w:rsidR="00FF75D5" w:rsidRDefault="00C62543">
      <w:pPr>
        <w:numPr>
          <w:ilvl w:val="0"/>
          <w:numId w:val="8"/>
        </w:numPr>
        <w:spacing w:beforeLines="10" w:before="24" w:afterLines="10" w:after="24" w:line="264" w:lineRule="auto"/>
        <w:rPr>
          <w:sz w:val="20"/>
          <w:szCs w:val="20"/>
        </w:rPr>
      </w:pPr>
      <w:r>
        <w:rPr>
          <w:sz w:val="20"/>
          <w:szCs w:val="20"/>
        </w:rPr>
        <w:t>3GPP, R2-1901491, Sub-group ID calculation based on UE_ID for UE-group WUS, ZTE, RAN2 #105, February 2019</w:t>
      </w:r>
    </w:p>
    <w:p w:rsidR="00FF75D5" w:rsidRDefault="00FF75D5">
      <w:pPr>
        <w:spacing w:beforeLines="10" w:before="24" w:afterLines="10" w:after="24" w:line="264" w:lineRule="auto"/>
        <w:ind w:left="420"/>
        <w:rPr>
          <w:sz w:val="20"/>
          <w:szCs w:val="20"/>
        </w:rPr>
      </w:pPr>
    </w:p>
    <w:p w:rsidR="00FF75D5" w:rsidRDefault="00FF75D5">
      <w:pPr>
        <w:spacing w:beforeLines="10" w:before="24" w:afterLines="10" w:after="24" w:line="264" w:lineRule="auto"/>
        <w:rPr>
          <w:sz w:val="20"/>
          <w:szCs w:val="20"/>
        </w:rPr>
      </w:pPr>
    </w:p>
    <w:sectPr w:rsidR="00FF75D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D8C" w:rsidRDefault="00D03D8C" w:rsidP="002C4374">
      <w:pPr>
        <w:spacing w:after="0" w:line="240" w:lineRule="auto"/>
      </w:pPr>
      <w:r>
        <w:separator/>
      </w:r>
    </w:p>
  </w:endnote>
  <w:endnote w:type="continuationSeparator" w:id="0">
    <w:p w:rsidR="00D03D8C" w:rsidRDefault="00D03D8C" w:rsidP="002C4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D8C" w:rsidRDefault="00D03D8C" w:rsidP="002C4374">
      <w:pPr>
        <w:spacing w:after="0" w:line="240" w:lineRule="auto"/>
      </w:pPr>
      <w:r>
        <w:separator/>
      </w:r>
    </w:p>
  </w:footnote>
  <w:footnote w:type="continuationSeparator" w:id="0">
    <w:p w:rsidR="00D03D8C" w:rsidRDefault="00D03D8C" w:rsidP="002C43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74"/>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1B9"/>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4BB"/>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1A3"/>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543"/>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3D8C"/>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D5"/>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361036"/>
    <w:rsid w:val="057A3E53"/>
    <w:rsid w:val="06072B25"/>
    <w:rsid w:val="06C912B1"/>
    <w:rsid w:val="06D63647"/>
    <w:rsid w:val="080336F5"/>
    <w:rsid w:val="08054515"/>
    <w:rsid w:val="08564BE9"/>
    <w:rsid w:val="08BB30EC"/>
    <w:rsid w:val="0A0D1879"/>
    <w:rsid w:val="0A213D44"/>
    <w:rsid w:val="0A334654"/>
    <w:rsid w:val="0A3643BE"/>
    <w:rsid w:val="0A3B53B5"/>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B2952"/>
    <w:rsid w:val="206C2785"/>
    <w:rsid w:val="20AD5F39"/>
    <w:rsid w:val="20E33181"/>
    <w:rsid w:val="2105487A"/>
    <w:rsid w:val="22153B4E"/>
    <w:rsid w:val="222E4177"/>
    <w:rsid w:val="2254713C"/>
    <w:rsid w:val="22601645"/>
    <w:rsid w:val="229F6519"/>
    <w:rsid w:val="22E46845"/>
    <w:rsid w:val="23062764"/>
    <w:rsid w:val="241534A7"/>
    <w:rsid w:val="256B1E5E"/>
    <w:rsid w:val="25956F7E"/>
    <w:rsid w:val="2679522B"/>
    <w:rsid w:val="26E5287F"/>
    <w:rsid w:val="27510987"/>
    <w:rsid w:val="28151073"/>
    <w:rsid w:val="28E309D7"/>
    <w:rsid w:val="28F95B87"/>
    <w:rsid w:val="2900651C"/>
    <w:rsid w:val="29181460"/>
    <w:rsid w:val="2956167A"/>
    <w:rsid w:val="299145D8"/>
    <w:rsid w:val="29A240AD"/>
    <w:rsid w:val="2A072E6D"/>
    <w:rsid w:val="2A36637F"/>
    <w:rsid w:val="2A95301D"/>
    <w:rsid w:val="2AD23946"/>
    <w:rsid w:val="2BF10488"/>
    <w:rsid w:val="2C092A93"/>
    <w:rsid w:val="2C296497"/>
    <w:rsid w:val="2DB53D1A"/>
    <w:rsid w:val="2DD81171"/>
    <w:rsid w:val="2E321D5F"/>
    <w:rsid w:val="2EA04261"/>
    <w:rsid w:val="2EB4754A"/>
    <w:rsid w:val="2EC55E8F"/>
    <w:rsid w:val="2F134EE0"/>
    <w:rsid w:val="2F623CD7"/>
    <w:rsid w:val="2FF33761"/>
    <w:rsid w:val="30DC4BD6"/>
    <w:rsid w:val="30DF1FC9"/>
    <w:rsid w:val="30F21EE5"/>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684668B"/>
    <w:rsid w:val="37731700"/>
    <w:rsid w:val="377C139D"/>
    <w:rsid w:val="37ED5441"/>
    <w:rsid w:val="37FC0618"/>
    <w:rsid w:val="381814C7"/>
    <w:rsid w:val="395C2867"/>
    <w:rsid w:val="39741792"/>
    <w:rsid w:val="39766AD7"/>
    <w:rsid w:val="39A32391"/>
    <w:rsid w:val="39BB4796"/>
    <w:rsid w:val="3A5B1E6D"/>
    <w:rsid w:val="3A8268AE"/>
    <w:rsid w:val="3A91443A"/>
    <w:rsid w:val="3B213E5A"/>
    <w:rsid w:val="3B2169C9"/>
    <w:rsid w:val="3BD666CE"/>
    <w:rsid w:val="3C5E18FC"/>
    <w:rsid w:val="3C7D6420"/>
    <w:rsid w:val="3CB44305"/>
    <w:rsid w:val="3D72668D"/>
    <w:rsid w:val="3DEB10E3"/>
    <w:rsid w:val="3E95018E"/>
    <w:rsid w:val="3F34194D"/>
    <w:rsid w:val="3F655CF0"/>
    <w:rsid w:val="3FC46DE6"/>
    <w:rsid w:val="3FCD091D"/>
    <w:rsid w:val="3FEB25EC"/>
    <w:rsid w:val="3FF006AE"/>
    <w:rsid w:val="401550FC"/>
    <w:rsid w:val="402C4147"/>
    <w:rsid w:val="402E64F6"/>
    <w:rsid w:val="40B536F2"/>
    <w:rsid w:val="40F80976"/>
    <w:rsid w:val="414204A1"/>
    <w:rsid w:val="41942B9D"/>
    <w:rsid w:val="42DB482E"/>
    <w:rsid w:val="430A6648"/>
    <w:rsid w:val="430F64CC"/>
    <w:rsid w:val="437C54AC"/>
    <w:rsid w:val="43871508"/>
    <w:rsid w:val="43A17D02"/>
    <w:rsid w:val="43AF3D36"/>
    <w:rsid w:val="43D97CE3"/>
    <w:rsid w:val="45064D15"/>
    <w:rsid w:val="452F00DB"/>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E50C5"/>
    <w:rsid w:val="57964504"/>
    <w:rsid w:val="5815106A"/>
    <w:rsid w:val="583B552E"/>
    <w:rsid w:val="583E2F16"/>
    <w:rsid w:val="58D414AC"/>
    <w:rsid w:val="59331028"/>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D1B25D1"/>
    <w:rsid w:val="5E9F3D42"/>
    <w:rsid w:val="5F0B233D"/>
    <w:rsid w:val="5F366FF3"/>
    <w:rsid w:val="5F67277F"/>
    <w:rsid w:val="5F912CCC"/>
    <w:rsid w:val="5FDD602F"/>
    <w:rsid w:val="603A2ABF"/>
    <w:rsid w:val="60477ED6"/>
    <w:rsid w:val="60717E4B"/>
    <w:rsid w:val="60CD0794"/>
    <w:rsid w:val="60EA3009"/>
    <w:rsid w:val="610E52A4"/>
    <w:rsid w:val="61EB027D"/>
    <w:rsid w:val="621269F4"/>
    <w:rsid w:val="62353ED7"/>
    <w:rsid w:val="62905168"/>
    <w:rsid w:val="62FC074F"/>
    <w:rsid w:val="63B17CB6"/>
    <w:rsid w:val="63D5569D"/>
    <w:rsid w:val="647826AE"/>
    <w:rsid w:val="64A61339"/>
    <w:rsid w:val="64AC2F64"/>
    <w:rsid w:val="64BB3775"/>
    <w:rsid w:val="652505C7"/>
    <w:rsid w:val="659768E8"/>
    <w:rsid w:val="65B228BF"/>
    <w:rsid w:val="65D50280"/>
    <w:rsid w:val="66893AB2"/>
    <w:rsid w:val="66F17846"/>
    <w:rsid w:val="67B10006"/>
    <w:rsid w:val="67E7796D"/>
    <w:rsid w:val="68D518BE"/>
    <w:rsid w:val="692D768A"/>
    <w:rsid w:val="69B8294C"/>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3096A16"/>
    <w:rsid w:val="733A4C94"/>
    <w:rsid w:val="73FA2F75"/>
    <w:rsid w:val="742475BB"/>
    <w:rsid w:val="7436319B"/>
    <w:rsid w:val="74475B90"/>
    <w:rsid w:val="74524688"/>
    <w:rsid w:val="749F1E28"/>
    <w:rsid w:val="74C057F7"/>
    <w:rsid w:val="74ED6881"/>
    <w:rsid w:val="76206BFA"/>
    <w:rsid w:val="78002D70"/>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 w:val="7FAD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D0CFEA-D26B-4800-ADBA-019A347A6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B6248D-2A20-4A1D-BADC-65BE1B41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5</Pages>
  <Words>1581</Words>
  <Characters>9018</Characters>
  <Application>Microsoft Office Word</Application>
  <DocSecurity>0</DocSecurity>
  <Lines>75</Lines>
  <Paragraphs>21</Paragraphs>
  <ScaleCrop>false</ScaleCrop>
  <Company/>
  <LinksUpToDate>false</LinksUpToDate>
  <CharactersWithSpaces>10578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cp:revision>
  <dcterms:created xsi:type="dcterms:W3CDTF">2019-03-22T02:16:00Z</dcterms:created>
  <dcterms:modified xsi:type="dcterms:W3CDTF">2019-08-15T20:11:00Z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